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0F5035">
      <w:pPr>
        <w:rPr>
          <w:color w:val="000000"/>
          <w:lang w:eastAsia="zh-CN"/>
        </w:rPr>
      </w:pPr>
      <w:r>
        <w:drawing>
          <wp:anchor distT="0" distB="0" distL="114300" distR="114300" simplePos="0" relativeHeight="251660288" behindDoc="0" locked="0" layoutInCell="1" allowOverlap="1">
            <wp:simplePos x="0" y="0"/>
            <wp:positionH relativeFrom="column">
              <wp:posOffset>4208145</wp:posOffset>
            </wp:positionH>
            <wp:positionV relativeFrom="paragraph">
              <wp:posOffset>-153035</wp:posOffset>
            </wp:positionV>
            <wp:extent cx="953135" cy="957580"/>
            <wp:effectExtent l="0" t="0" r="18415" b="1397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953135" cy="957580"/>
                    </a:xfrm>
                    <a:prstGeom prst="rect">
                      <a:avLst/>
                    </a:prstGeom>
                    <a:noFill/>
                    <a:ln>
                      <a:noFill/>
                    </a:ln>
                  </pic:spPr>
                </pic:pic>
              </a:graphicData>
            </a:graphic>
          </wp:anchor>
        </w:drawing>
      </w:r>
      <w:r>
        <w:rPr>
          <w:color w:val="000000"/>
          <w:lang w:eastAsia="zh-CN"/>
        </w:rPr>
        <w:t>ICS 65.020.30</w:t>
      </w:r>
    </w:p>
    <w:p w14:paraId="73FAF776">
      <w:pPr>
        <w:rPr>
          <w:color w:val="000000"/>
          <w:lang w:eastAsia="zh-CN"/>
        </w:rPr>
      </w:pPr>
      <w:r>
        <w:rPr>
          <w:rFonts w:hint="eastAsia"/>
          <w:color w:val="000000"/>
          <w:lang w:eastAsia="zh-CN"/>
        </w:rPr>
        <w:t xml:space="preserve">CCS </w:t>
      </w:r>
      <w:r>
        <w:rPr>
          <w:color w:val="000000"/>
          <w:lang w:eastAsia="zh-CN"/>
        </w:rPr>
        <w:t xml:space="preserve">B44 </w:t>
      </w:r>
    </w:p>
    <w:p w14:paraId="7EC9EF15">
      <w:pPr>
        <w:jc w:val="right"/>
        <w:rPr>
          <w:color w:val="000000"/>
          <w:lang w:eastAsia="zh-CN"/>
        </w:rPr>
      </w:pPr>
    </w:p>
    <w:p w14:paraId="1421979D">
      <w:pPr>
        <w:jc w:val="right"/>
        <w:rPr>
          <w:color w:val="000000"/>
          <w:lang w:eastAsia="zh-CN"/>
        </w:rPr>
      </w:pPr>
    </w:p>
    <w:p w14:paraId="77AF2182">
      <w:pPr>
        <w:jc w:val="right"/>
        <w:rPr>
          <w:color w:val="000000"/>
          <w:lang w:eastAsia="zh-CN"/>
        </w:rPr>
      </w:pPr>
    </w:p>
    <w:p w14:paraId="0A0D3048">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723DB80A">
      <w:pPr>
        <w:rPr>
          <w:color w:val="000000"/>
          <w:lang w:eastAsia="zh-CN"/>
        </w:rPr>
      </w:pPr>
    </w:p>
    <w:p w14:paraId="1A41F895">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2E9EEE3D">
      <w:pPr>
        <w:rPr>
          <w:color w:val="000000"/>
          <w:u w:val="single"/>
          <w:lang w:eastAsia="zh-CN"/>
        </w:rPr>
      </w:pPr>
      <w:r>
        <w:rPr>
          <w:color w:val="000000"/>
          <w:u w:val="single"/>
          <w:lang w:eastAsia="zh-CN"/>
        </w:rPr>
        <w:t xml:space="preserve">                                                                                           </w:t>
      </w:r>
    </w:p>
    <w:p w14:paraId="026ED708">
      <w:pPr>
        <w:rPr>
          <w:color w:val="000000"/>
          <w:lang w:eastAsia="zh-CN"/>
        </w:rPr>
      </w:pPr>
    </w:p>
    <w:p w14:paraId="61BC9438">
      <w:pPr>
        <w:rPr>
          <w:color w:val="000000"/>
          <w:lang w:eastAsia="zh-CN"/>
        </w:rPr>
      </w:pPr>
    </w:p>
    <w:p w14:paraId="4BA975C7">
      <w:pPr>
        <w:pStyle w:val="2"/>
        <w:jc w:val="center"/>
        <w:rPr>
          <w:rFonts w:ascii="黑体" w:hAnsi="黑体" w:eastAsia="黑体" w:cs="黑体"/>
          <w:sz w:val="48"/>
          <w:szCs w:val="48"/>
          <w:lang w:eastAsia="zh-CN"/>
        </w:rPr>
      </w:pPr>
      <w:r>
        <w:rPr>
          <w:rFonts w:hint="eastAsia" w:ascii="黑体" w:hAnsi="黑体" w:eastAsia="黑体" w:cs="黑体"/>
          <w:b w:val="0"/>
          <w:bCs w:val="0"/>
          <w:sz w:val="52"/>
          <w:szCs w:val="52"/>
          <w:lang w:eastAsia="zh-CN"/>
        </w:rPr>
        <w:t>实验动物 福利评价生理学关键参数测定技术规范</w:t>
      </w:r>
    </w:p>
    <w:p w14:paraId="6C077A6E">
      <w:pPr>
        <w:rPr>
          <w:rFonts w:ascii="黑体" w:eastAsia="黑体"/>
          <w:color w:val="000000"/>
          <w:spacing w:val="40"/>
          <w:lang w:eastAsia="zh-CN"/>
        </w:rPr>
      </w:pPr>
    </w:p>
    <w:p w14:paraId="14725A16">
      <w:pPr>
        <w:jc w:val="center"/>
        <w:rPr>
          <w:rFonts w:ascii="黑体" w:hAnsi="黑体" w:eastAsia="黑体" w:cs="黑体"/>
          <w:color w:val="000000"/>
          <w:sz w:val="28"/>
          <w:szCs w:val="28"/>
        </w:rPr>
      </w:pPr>
      <w:r>
        <w:rPr>
          <w:rFonts w:hint="eastAsia" w:ascii="黑体" w:hAnsi="黑体" w:eastAsia="黑体" w:cs="黑体"/>
          <w:color w:val="000000"/>
          <w:sz w:val="28"/>
          <w:szCs w:val="28"/>
        </w:rPr>
        <w:t>Laboratory animal - Technical specifications for key physiological parameters in welfare evaluation</w:t>
      </w:r>
    </w:p>
    <w:p w14:paraId="1E2A1BD8">
      <w:pPr>
        <w:jc w:val="center"/>
        <w:rPr>
          <w:color w:val="000000"/>
          <w:sz w:val="28"/>
          <w:szCs w:val="28"/>
          <w:lang w:eastAsia="zh-CN"/>
        </w:rPr>
      </w:pPr>
      <w:r>
        <w:rPr>
          <w:rFonts w:hint="eastAsia"/>
          <w:color w:val="000000"/>
          <w:sz w:val="28"/>
          <w:szCs w:val="28"/>
          <w:lang w:eastAsia="zh-CN"/>
        </w:rPr>
        <w:t>（征求意见稿）</w:t>
      </w:r>
    </w:p>
    <w:p w14:paraId="06306392">
      <w:pPr>
        <w:rPr>
          <w:color w:val="000000"/>
          <w:lang w:eastAsia="zh-CN"/>
        </w:rPr>
      </w:pPr>
    </w:p>
    <w:p w14:paraId="46F41AB9">
      <w:pPr>
        <w:rPr>
          <w:color w:val="000000"/>
          <w:lang w:eastAsia="zh-CN"/>
        </w:rPr>
      </w:pPr>
    </w:p>
    <w:p w14:paraId="366ADA2A">
      <w:pPr>
        <w:rPr>
          <w:color w:val="000000"/>
          <w:lang w:eastAsia="zh-CN"/>
        </w:rPr>
      </w:pPr>
    </w:p>
    <w:p w14:paraId="56FDD701">
      <w:pPr>
        <w:rPr>
          <w:color w:val="000000"/>
          <w:lang w:eastAsia="zh-CN"/>
        </w:rPr>
      </w:pPr>
    </w:p>
    <w:p w14:paraId="5FE51A34">
      <w:pPr>
        <w:rPr>
          <w:color w:val="000000"/>
          <w:lang w:eastAsia="zh-CN"/>
        </w:rPr>
      </w:pPr>
    </w:p>
    <w:p w14:paraId="68F806D2">
      <w:pPr>
        <w:rPr>
          <w:color w:val="000000"/>
          <w:lang w:eastAsia="zh-CN"/>
        </w:rPr>
      </w:pPr>
    </w:p>
    <w:p w14:paraId="4BEAB336">
      <w:pPr>
        <w:rPr>
          <w:color w:val="000000"/>
          <w:lang w:eastAsia="zh-CN"/>
        </w:rPr>
      </w:pPr>
    </w:p>
    <w:p w14:paraId="51ADA13D">
      <w:pPr>
        <w:rPr>
          <w:color w:val="000000"/>
          <w:lang w:eastAsia="zh-CN"/>
        </w:rPr>
      </w:pPr>
    </w:p>
    <w:p w14:paraId="71D22880">
      <w:pPr>
        <w:rPr>
          <w:color w:val="000000"/>
          <w:lang w:eastAsia="zh-CN"/>
        </w:rPr>
      </w:pPr>
    </w:p>
    <w:p w14:paraId="0EDA06D5">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37E1FF17">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14:paraId="140CBBAA">
        <w:tblPrEx>
          <w:tblCellMar>
            <w:top w:w="0" w:type="dxa"/>
            <w:left w:w="108" w:type="dxa"/>
            <w:bottom w:w="0" w:type="dxa"/>
            <w:right w:w="108" w:type="dxa"/>
          </w:tblCellMar>
        </w:tblPrEx>
        <w:trPr>
          <w:trHeight w:val="832" w:hRule="atLeast"/>
          <w:jc w:val="center"/>
        </w:trPr>
        <w:tc>
          <w:tcPr>
            <w:tcW w:w="6637" w:type="dxa"/>
          </w:tcPr>
          <w:p w14:paraId="01A405D7">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14:paraId="5F825C3C">
            <w:pPr>
              <w:pStyle w:val="13"/>
              <w:spacing w:line="160" w:lineRule="atLeast"/>
              <w:rPr>
                <w:rFonts w:ascii="Times New Roman" w:hAnsi="Times New Roman" w:eastAsia="仿宋_GB2312"/>
                <w:color w:val="000000"/>
                <w:w w:val="150"/>
                <w:lang w:eastAsia="zh-CN" w:bidi="en-US"/>
              </w:rPr>
            </w:pPr>
          </w:p>
        </w:tc>
      </w:tr>
    </w:tbl>
    <w:p w14:paraId="279437F4">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14:paraId="1D94A8B8">
      <w:pPr>
        <w:jc w:val="center"/>
        <w:rPr>
          <w:color w:val="000000"/>
          <w:spacing w:val="50"/>
          <w:lang w:eastAsia="zh-CN"/>
        </w:rPr>
      </w:pPr>
    </w:p>
    <w:p w14:paraId="2A38269D">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509B2889">
      <w:pPr>
        <w:rPr>
          <w:color w:val="000000"/>
          <w:lang w:eastAsia="zh-CN"/>
        </w:rPr>
      </w:pPr>
    </w:p>
    <w:p w14:paraId="2D8686C8">
      <w:pPr>
        <w:pStyle w:val="12"/>
        <w:spacing w:line="360" w:lineRule="auto"/>
        <w:ind w:firstLine="437"/>
        <w:rPr>
          <w:rFonts w:cs="Times New Roman"/>
          <w:lang w:eastAsia="zh-CN"/>
        </w:rPr>
      </w:pPr>
      <w:r>
        <w:rPr>
          <w:rFonts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cs="Times New Roman"/>
          <w:lang w:eastAsia="zh-CN"/>
        </w:rPr>
        <w:t>《标准化工作导则</w:t>
      </w:r>
      <w:r>
        <w:rPr>
          <w:rFonts w:hint="eastAsia" w:cs="Times New Roman"/>
          <w:lang w:eastAsia="zh-CN"/>
        </w:rPr>
        <w:t xml:space="preserve">  </w:t>
      </w:r>
      <w:r>
        <w:rPr>
          <w:rFonts w:cs="Times New Roman"/>
          <w:lang w:eastAsia="zh-CN"/>
        </w:rPr>
        <w:t>第1</w:t>
      </w:r>
      <w:r>
        <w:rPr>
          <w:rFonts w:hint="eastAsia" w:cs="Times New Roman"/>
          <w:lang w:eastAsia="zh-CN"/>
        </w:rPr>
        <w:t>部</w:t>
      </w:r>
      <w:r>
        <w:rPr>
          <w:rFonts w:cs="Times New Roman"/>
          <w:lang w:eastAsia="zh-CN"/>
        </w:rPr>
        <w:t>分</w:t>
      </w:r>
      <w:r>
        <w:rPr>
          <w:rFonts w:hint="eastAsia" w:cs="Times New Roman"/>
          <w:lang w:eastAsia="zh-CN"/>
        </w:rPr>
        <w:t>：标准化</w:t>
      </w:r>
      <w:r>
        <w:rPr>
          <w:rFonts w:cs="Times New Roman"/>
          <w:lang w:eastAsia="zh-CN"/>
        </w:rPr>
        <w:t>文件的结构和起草规则》的规定起草。</w:t>
      </w:r>
    </w:p>
    <w:p w14:paraId="4749BA12">
      <w:pPr>
        <w:pStyle w:val="12"/>
        <w:spacing w:line="360" w:lineRule="auto"/>
        <w:ind w:firstLine="437"/>
        <w:rPr>
          <w:rFonts w:ascii="Times New Roman" w:hAnsi="Times New Roman" w:cs="Times New Roman"/>
          <w:lang w:eastAsia="zh-CN"/>
        </w:rPr>
      </w:pPr>
      <w:r>
        <w:rPr>
          <w:rFonts w:ascii="Times New Roman" w:hAnsi="Times New Roman" w:cs="Times New Roman"/>
          <w:color w:val="000000"/>
          <w:lang w:eastAsia="zh-CN"/>
        </w:rPr>
        <w:t>请注意本文件的某些内容可能涉及专利。本文件的发布机构不承担识别专利的责任。</w:t>
      </w:r>
    </w:p>
    <w:p w14:paraId="190FF3DD">
      <w:pPr>
        <w:spacing w:line="360" w:lineRule="auto"/>
        <w:ind w:firstLine="435"/>
        <w:rPr>
          <w:color w:val="000000"/>
          <w:sz w:val="21"/>
          <w:szCs w:val="21"/>
          <w:lang w:eastAsia="zh-CN"/>
        </w:rPr>
      </w:pPr>
      <w:r>
        <w:rPr>
          <w:color w:val="000000"/>
          <w:sz w:val="21"/>
          <w:szCs w:val="21"/>
          <w:lang w:eastAsia="zh-CN"/>
        </w:rPr>
        <w:t>本文件由中国实验动物学会归口。</w:t>
      </w:r>
    </w:p>
    <w:p w14:paraId="4F64EBB6">
      <w:pPr>
        <w:spacing w:line="360" w:lineRule="auto"/>
        <w:ind w:firstLine="435"/>
        <w:rPr>
          <w:color w:val="000000"/>
          <w:sz w:val="21"/>
          <w:szCs w:val="21"/>
          <w:lang w:eastAsia="zh-CN"/>
        </w:rPr>
      </w:pPr>
      <w:r>
        <w:rPr>
          <w:color w:val="000000"/>
          <w:sz w:val="21"/>
          <w:szCs w:val="21"/>
          <w:lang w:eastAsia="zh-CN"/>
        </w:rPr>
        <w:t>本文件由全国实验动物标准化技术委员会（SAC/TC281）技术审查。</w:t>
      </w:r>
    </w:p>
    <w:p w14:paraId="5D0ED956">
      <w:pPr>
        <w:spacing w:line="360" w:lineRule="auto"/>
        <w:ind w:firstLine="435"/>
        <w:rPr>
          <w:color w:val="000000"/>
          <w:sz w:val="21"/>
          <w:szCs w:val="21"/>
          <w:lang w:eastAsia="zh-CN"/>
        </w:rPr>
      </w:pPr>
      <w:r>
        <w:rPr>
          <w:color w:val="000000"/>
          <w:sz w:val="21"/>
          <w:szCs w:val="21"/>
          <w:lang w:eastAsia="zh-CN"/>
        </w:rPr>
        <w:t>本文件由中国实验动物学会实验动物标准化专业委员会提出并组织起草。</w:t>
      </w:r>
    </w:p>
    <w:p w14:paraId="01064BE0">
      <w:pPr>
        <w:spacing w:line="360" w:lineRule="auto"/>
        <w:ind w:firstLine="435"/>
        <w:rPr>
          <w:color w:val="000000"/>
          <w:sz w:val="21"/>
          <w:szCs w:val="21"/>
          <w:lang w:eastAsia="zh-CN"/>
        </w:rPr>
      </w:pPr>
      <w:r>
        <w:rPr>
          <w:color w:val="000000"/>
          <w:sz w:val="21"/>
          <w:szCs w:val="21"/>
          <w:lang w:eastAsia="zh-CN"/>
        </w:rPr>
        <w:t>本文件起草单位：北京大学、中国医学科学院医学实验动物研究所</w:t>
      </w:r>
      <w:r>
        <w:rPr>
          <w:rFonts w:hint="eastAsia"/>
          <w:color w:val="000000"/>
          <w:sz w:val="21"/>
          <w:szCs w:val="21"/>
          <w:lang w:eastAsia="zh-CN"/>
        </w:rPr>
        <w:t>、首都医科大学、中山大学</w:t>
      </w:r>
      <w:r>
        <w:rPr>
          <w:color w:val="000000"/>
          <w:sz w:val="21"/>
          <w:szCs w:val="21"/>
          <w:lang w:eastAsia="zh-CN"/>
        </w:rPr>
        <w:t>。</w:t>
      </w:r>
    </w:p>
    <w:p w14:paraId="2165D569">
      <w:pPr>
        <w:spacing w:line="360" w:lineRule="auto"/>
        <w:ind w:firstLine="435"/>
        <w:rPr>
          <w:color w:val="000000"/>
          <w:sz w:val="21"/>
          <w:szCs w:val="21"/>
          <w:lang w:eastAsia="zh-CN"/>
        </w:rPr>
      </w:pPr>
      <w:r>
        <w:rPr>
          <w:color w:val="000000"/>
          <w:sz w:val="21"/>
          <w:szCs w:val="21"/>
          <w:lang w:eastAsia="zh-CN"/>
        </w:rPr>
        <w:t>本文件主要起草人：李霞、</w:t>
      </w:r>
      <w:r>
        <w:rPr>
          <w:rFonts w:hint="eastAsia"/>
          <w:color w:val="000000"/>
          <w:sz w:val="21"/>
          <w:szCs w:val="21"/>
          <w:lang w:eastAsia="zh-CN"/>
        </w:rPr>
        <w:t>徐国恒、</w:t>
      </w:r>
      <w:r>
        <w:rPr>
          <w:color w:val="000000"/>
          <w:sz w:val="21"/>
          <w:szCs w:val="21"/>
          <w:lang w:eastAsia="zh-CN"/>
        </w:rPr>
        <w:t>向志光、韦玉生、陈柏安、蔡卫斌。</w:t>
      </w:r>
    </w:p>
    <w:p w14:paraId="58890B0E">
      <w:pPr>
        <w:spacing w:line="360" w:lineRule="auto"/>
        <w:ind w:firstLine="435"/>
        <w:rPr>
          <w:rFonts w:ascii="宋体"/>
          <w:color w:val="000000"/>
          <w:lang w:eastAsia="zh-CN"/>
        </w:rPr>
      </w:pPr>
    </w:p>
    <w:p w14:paraId="7FA00E4F">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14:paraId="0AD6B923">
      <w:pPr>
        <w:pStyle w:val="2"/>
        <w:jc w:val="center"/>
        <w:rPr>
          <w:lang w:eastAsia="zh-CN"/>
        </w:rPr>
      </w:pPr>
      <w:bookmarkStart w:id="0" w:name="OLE_LINK1"/>
      <w:bookmarkStart w:id="1" w:name="OLE_LINK2"/>
      <w:r>
        <w:rPr>
          <w:rFonts w:hint="eastAsia" w:ascii="黑体" w:hAnsi="黑体" w:eastAsia="黑体" w:cs="黑体"/>
          <w:b w:val="0"/>
          <w:bCs w:val="0"/>
          <w:lang w:eastAsia="zh-CN"/>
        </w:rPr>
        <w:t>实验动物 福利评价生理学关键参数测定技术规范</w:t>
      </w:r>
    </w:p>
    <w:bookmarkEnd w:id="0"/>
    <w:bookmarkEnd w:id="1"/>
    <w:p w14:paraId="00845B4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1 </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范围</w:t>
      </w:r>
    </w:p>
    <w:p w14:paraId="4ADBD99C">
      <w:pPr>
        <w:spacing w:line="360" w:lineRule="auto"/>
        <w:ind w:firstLine="420" w:firstLineChars="200"/>
        <w:rPr>
          <w:color w:val="000000"/>
          <w:sz w:val="21"/>
          <w:lang w:eastAsia="zh-CN"/>
        </w:rPr>
      </w:pPr>
      <w:r>
        <w:rPr>
          <w:rFonts w:hint="eastAsia"/>
          <w:color w:val="000000"/>
          <w:sz w:val="21"/>
          <w:lang w:eastAsia="zh-CN"/>
        </w:rPr>
        <w:t>本文件规定了实验动物福利评价中对实验动物关键生理学参数测定的定义，</w:t>
      </w:r>
      <w:bookmarkStart w:id="2" w:name="OLE_LINK4"/>
      <w:bookmarkStart w:id="3" w:name="OLE_LINK3"/>
      <w:r>
        <w:rPr>
          <w:rFonts w:hint="eastAsia"/>
          <w:color w:val="000000"/>
          <w:sz w:val="21"/>
          <w:lang w:val="en-US" w:eastAsia="zh-CN"/>
        </w:rPr>
        <w:t>包括</w:t>
      </w:r>
      <w:bookmarkEnd w:id="2"/>
      <w:bookmarkEnd w:id="3"/>
      <w:r>
        <w:rPr>
          <w:rFonts w:hint="eastAsia"/>
          <w:color w:val="000000"/>
          <w:sz w:val="21"/>
          <w:lang w:eastAsia="zh-CN"/>
        </w:rPr>
        <w:t>体重测定规范、体温测定规范、 呼吸频率测定规范、心率测定规范、血压测定规范、血</w:t>
      </w:r>
      <w:r>
        <w:rPr>
          <w:rFonts w:hint="eastAsia"/>
          <w:color w:val="000000"/>
          <w:sz w:val="21"/>
          <w:lang w:val="en-US" w:eastAsia="zh-CN"/>
        </w:rPr>
        <w:t>糖</w:t>
      </w:r>
      <w:r>
        <w:rPr>
          <w:rFonts w:hint="eastAsia"/>
          <w:color w:val="000000"/>
          <w:sz w:val="21"/>
          <w:lang w:eastAsia="zh-CN"/>
        </w:rPr>
        <w:t>测定规范。</w:t>
      </w:r>
    </w:p>
    <w:p w14:paraId="07AD5E38">
      <w:pPr>
        <w:spacing w:line="360" w:lineRule="auto"/>
        <w:ind w:firstLine="420" w:firstLineChars="200"/>
        <w:rPr>
          <w:color w:val="000000"/>
          <w:sz w:val="21"/>
          <w:lang w:eastAsia="zh-CN"/>
        </w:rPr>
      </w:pPr>
      <w:r>
        <w:rPr>
          <w:rFonts w:hint="eastAsia"/>
          <w:color w:val="000000"/>
          <w:sz w:val="21"/>
          <w:lang w:eastAsia="zh-CN"/>
        </w:rPr>
        <w:t>本文件适用于实验动物繁育、饲养与实验过程中为保障实验动物基本福利，评估实验动物生理学关键参数的技术实施指引，本文件描述的生理学关键参数包括：体重、体温、呼吸频率、心率、血压和血糖。</w:t>
      </w:r>
    </w:p>
    <w:p w14:paraId="4B7127F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16493DD4">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297F412C">
      <w:pPr>
        <w:pStyle w:val="55"/>
        <w:spacing w:line="360" w:lineRule="auto"/>
        <w:ind w:firstLine="420" w:firstLineChars="200"/>
        <w:rPr>
          <w:rFonts w:ascii="Times New Roman" w:hAnsi="Times New Roman" w:cs="Times New Roman"/>
          <w:kern w:val="2"/>
          <w:sz w:val="21"/>
        </w:rPr>
      </w:pPr>
      <w:r>
        <w:rPr>
          <w:rFonts w:hint="eastAsia" w:ascii="Times New Roman" w:hAnsi="Times New Roman" w:cs="Times New Roman"/>
          <w:kern w:val="2"/>
          <w:sz w:val="21"/>
        </w:rPr>
        <w:t xml:space="preserve">GB 14925-2023 </w:t>
      </w:r>
      <w:r>
        <w:rPr>
          <w:rFonts w:ascii="Times New Roman" w:hAnsi="Times New Roman" w:cs="Times New Roman"/>
          <w:kern w:val="2"/>
          <w:sz w:val="21"/>
        </w:rPr>
        <w:t xml:space="preserve"> </w:t>
      </w:r>
      <w:r>
        <w:rPr>
          <w:rFonts w:hint="eastAsia" w:ascii="Times New Roman" w:hAnsi="Times New Roman" w:cs="Times New Roman"/>
          <w:kern w:val="2"/>
          <w:sz w:val="21"/>
        </w:rPr>
        <w:t>实验动物 环境及设施</w:t>
      </w:r>
    </w:p>
    <w:p w14:paraId="2C5C1279">
      <w:pPr>
        <w:pStyle w:val="55"/>
        <w:spacing w:line="360" w:lineRule="auto"/>
        <w:ind w:firstLine="420" w:firstLineChars="200"/>
        <w:rPr>
          <w:rFonts w:ascii="Times New Roman" w:hAnsi="Times New Roman" w:cs="Times New Roman"/>
          <w:kern w:val="2"/>
          <w:sz w:val="21"/>
        </w:rPr>
      </w:pPr>
      <w:r>
        <w:rPr>
          <w:rFonts w:ascii="Times New Roman" w:hAnsi="Times New Roman" w:cs="Times New Roman"/>
          <w:kern w:val="2"/>
          <w:sz w:val="21"/>
        </w:rPr>
        <w:t>GB</w:t>
      </w:r>
      <w:r>
        <w:rPr>
          <w:rFonts w:hint="eastAsia" w:ascii="Times New Roman" w:hAnsi="Times New Roman" w:cs="Times New Roman"/>
          <w:kern w:val="2"/>
          <w:sz w:val="21"/>
        </w:rPr>
        <w:t>/</w:t>
      </w:r>
      <w:r>
        <w:rPr>
          <w:rFonts w:ascii="Times New Roman" w:hAnsi="Times New Roman" w:cs="Times New Roman"/>
          <w:kern w:val="2"/>
          <w:sz w:val="21"/>
        </w:rPr>
        <w:t xml:space="preserve">T 35823-2018  </w:t>
      </w:r>
      <w:r>
        <w:rPr>
          <w:rFonts w:hint="eastAsia" w:ascii="Times New Roman" w:hAnsi="Times New Roman" w:cs="Times New Roman"/>
          <w:kern w:val="2"/>
          <w:sz w:val="21"/>
        </w:rPr>
        <w:t>实验动物 动物实验通用要求</w:t>
      </w:r>
    </w:p>
    <w:p w14:paraId="537F598D">
      <w:pPr>
        <w:pStyle w:val="55"/>
        <w:spacing w:line="360" w:lineRule="auto"/>
        <w:ind w:firstLine="420" w:firstLineChars="200"/>
        <w:rPr>
          <w:rFonts w:ascii="Times New Roman" w:hAnsi="Times New Roman" w:cs="Times New Roman"/>
          <w:kern w:val="2"/>
          <w:sz w:val="21"/>
        </w:rPr>
      </w:pPr>
      <w:r>
        <w:rPr>
          <w:rFonts w:ascii="Times New Roman" w:hAnsi="Times New Roman" w:cs="Times New Roman"/>
          <w:kern w:val="2"/>
          <w:sz w:val="21"/>
        </w:rPr>
        <w:t>GB/T 35892-2018</w:t>
      </w:r>
      <w:r>
        <w:rPr>
          <w:rFonts w:ascii="Times New Roman" w:hAnsi="Times New Roman" w:cs="Times New Roman"/>
          <w:kern w:val="2"/>
          <w:sz w:val="21"/>
        </w:rPr>
        <w:tab/>
      </w:r>
      <w:r>
        <w:rPr>
          <w:rFonts w:ascii="Times New Roman" w:hAnsi="Times New Roman" w:cs="Times New Roman"/>
          <w:kern w:val="2"/>
          <w:sz w:val="21"/>
        </w:rPr>
        <w:t>实验动物 福利伦理审查指南</w:t>
      </w:r>
    </w:p>
    <w:p w14:paraId="4AB9EB64">
      <w:pPr>
        <w:pStyle w:val="55"/>
        <w:spacing w:line="360" w:lineRule="auto"/>
        <w:ind w:firstLine="420" w:firstLineChars="200"/>
        <w:rPr>
          <w:rFonts w:ascii="Times New Roman" w:hAnsi="Times New Roman" w:cs="Times New Roman"/>
          <w:kern w:val="2"/>
          <w:sz w:val="21"/>
        </w:rPr>
      </w:pPr>
      <w:bookmarkStart w:id="4" w:name="OLE_LINK8"/>
      <w:bookmarkStart w:id="5" w:name="OLE_LINK7"/>
      <w:r>
        <w:rPr>
          <w:rFonts w:ascii="Times New Roman" w:hAnsi="Times New Roman" w:cs="Times New Roman"/>
          <w:kern w:val="2"/>
          <w:sz w:val="21"/>
        </w:rPr>
        <w:t>GB</w:t>
      </w:r>
      <w:r>
        <w:rPr>
          <w:rFonts w:hint="eastAsia" w:ascii="Times New Roman" w:hAnsi="Times New Roman" w:cs="Times New Roman"/>
          <w:kern w:val="2"/>
          <w:sz w:val="21"/>
        </w:rPr>
        <w:t>/</w:t>
      </w:r>
      <w:r>
        <w:rPr>
          <w:rFonts w:ascii="Times New Roman" w:hAnsi="Times New Roman" w:cs="Times New Roman"/>
          <w:kern w:val="2"/>
          <w:sz w:val="21"/>
        </w:rPr>
        <w:t xml:space="preserve">T 39646-2020  </w:t>
      </w:r>
      <w:r>
        <w:rPr>
          <w:rFonts w:hint="eastAsia" w:ascii="Times New Roman" w:hAnsi="Times New Roman" w:cs="Times New Roman"/>
          <w:kern w:val="2"/>
          <w:sz w:val="21"/>
        </w:rPr>
        <w:t>实验动物 健康监测总则</w:t>
      </w:r>
    </w:p>
    <w:bookmarkEnd w:id="4"/>
    <w:bookmarkEnd w:id="5"/>
    <w:p w14:paraId="10F3EFB8">
      <w:pPr>
        <w:pStyle w:val="55"/>
        <w:spacing w:line="360" w:lineRule="auto"/>
        <w:ind w:firstLine="420" w:firstLineChars="200"/>
        <w:rPr>
          <w:rFonts w:ascii="Times New Roman" w:hAnsi="Times New Roman" w:cs="Times New Roman"/>
          <w:kern w:val="2"/>
          <w:sz w:val="21"/>
        </w:rPr>
      </w:pPr>
      <w:bookmarkStart w:id="6" w:name="OLE_LINK9"/>
      <w:bookmarkStart w:id="7" w:name="OLE_LINK10"/>
      <w:r>
        <w:rPr>
          <w:rFonts w:ascii="Times New Roman" w:hAnsi="Times New Roman" w:cs="Times New Roman"/>
          <w:kern w:val="2"/>
          <w:sz w:val="21"/>
        </w:rPr>
        <w:t>GB/T 42011-2022  实验动物 福利通则</w:t>
      </w:r>
    </w:p>
    <w:bookmarkEnd w:id="6"/>
    <w:bookmarkEnd w:id="7"/>
    <w:p w14:paraId="31F9D10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239D7DC0">
      <w:pPr>
        <w:pStyle w:val="55"/>
        <w:spacing w:line="360" w:lineRule="auto"/>
        <w:ind w:firstLine="420" w:firstLineChars="200"/>
        <w:rPr>
          <w:rFonts w:ascii="宋体" w:hAnsi="宋体"/>
          <w:sz w:val="21"/>
        </w:rPr>
      </w:pPr>
      <w:r>
        <w:rPr>
          <w:rFonts w:hint="eastAsia" w:ascii="宋体" w:hAnsi="宋体"/>
          <w:sz w:val="21"/>
        </w:rPr>
        <w:t>以下术语和定义适用于本文件。</w:t>
      </w:r>
    </w:p>
    <w:p w14:paraId="01576FEE">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3.1 </w:t>
      </w:r>
    </w:p>
    <w:p w14:paraId="763438E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    实验动物福利评价  laboratory</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animal</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welfare</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assessment</w:t>
      </w:r>
    </w:p>
    <w:p w14:paraId="6A1B5ADF">
      <w:pPr>
        <w:spacing w:line="360" w:lineRule="auto"/>
        <w:ind w:firstLine="420" w:firstLineChars="200"/>
        <w:rPr>
          <w:color w:val="000000"/>
          <w:sz w:val="21"/>
          <w:lang w:eastAsia="zh-CN"/>
        </w:rPr>
      </w:pPr>
      <w:r>
        <w:rPr>
          <w:rFonts w:hint="eastAsia"/>
          <w:color w:val="000000"/>
          <w:sz w:val="21"/>
          <w:lang w:eastAsia="zh-CN"/>
        </w:rPr>
        <w:t>为保障实验动物福利，维持实验动物生理学、行为学等特性稳定，对人类为实验动物提供的外部条件参数及动物自身生命参数的稳定性和合理性进行的测定和评估。</w:t>
      </w:r>
    </w:p>
    <w:p w14:paraId="3F1F8B24">
      <w:pPr>
        <w:spacing w:line="360" w:lineRule="auto"/>
        <w:rPr>
          <w:color w:val="000000"/>
          <w:sz w:val="21"/>
          <w:lang w:eastAsia="zh-CN"/>
        </w:rPr>
      </w:pPr>
      <w:r>
        <w:rPr>
          <w:rFonts w:hint="eastAsia"/>
          <w:color w:val="000000"/>
          <w:sz w:val="21"/>
          <w:lang w:eastAsia="zh-CN"/>
        </w:rPr>
        <w:t>[注：实验动物福利定义参考 GB</w:t>
      </w:r>
      <w:r>
        <w:rPr>
          <w:color w:val="000000"/>
          <w:sz w:val="21"/>
          <w:lang w:eastAsia="zh-CN"/>
        </w:rPr>
        <w:t>/</w:t>
      </w:r>
      <w:r>
        <w:rPr>
          <w:rFonts w:hint="eastAsia"/>
          <w:color w:val="000000"/>
          <w:sz w:val="21"/>
          <w:lang w:eastAsia="zh-CN"/>
        </w:rPr>
        <w:t>T</w:t>
      </w:r>
      <w:r>
        <w:rPr>
          <w:color w:val="000000"/>
          <w:sz w:val="21"/>
          <w:lang w:eastAsia="zh-CN"/>
        </w:rPr>
        <w:t xml:space="preserve"> 35892-2018]</w:t>
      </w:r>
    </w:p>
    <w:p w14:paraId="123CC5D7">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3.2</w:t>
      </w:r>
    </w:p>
    <w:p w14:paraId="758CCB69">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实验动物生理学关键参数 p</w:t>
      </w:r>
      <w:r>
        <w:rPr>
          <w:rFonts w:ascii="黑体" w:hAnsi="黑体" w:eastAsia="黑体" w:cs="黑体"/>
          <w:color w:val="000000"/>
          <w:sz w:val="21"/>
          <w:lang w:eastAsia="zh-CN"/>
        </w:rPr>
        <w:t xml:space="preserve">hysiological </w:t>
      </w:r>
      <w:r>
        <w:rPr>
          <w:rFonts w:hint="eastAsia" w:ascii="黑体" w:hAnsi="黑体" w:eastAsia="黑体" w:cs="黑体"/>
          <w:color w:val="000000"/>
          <w:sz w:val="21"/>
          <w:lang w:eastAsia="zh-CN"/>
        </w:rPr>
        <w:t xml:space="preserve">key </w:t>
      </w:r>
      <w:r>
        <w:rPr>
          <w:rFonts w:ascii="黑体" w:hAnsi="黑体" w:eastAsia="黑体" w:cs="黑体"/>
          <w:color w:val="000000"/>
          <w:sz w:val="21"/>
          <w:lang w:eastAsia="zh-CN"/>
        </w:rPr>
        <w:t>parameters of experimental animals</w:t>
      </w:r>
    </w:p>
    <w:p w14:paraId="315B4AC0">
      <w:pPr>
        <w:spacing w:line="360" w:lineRule="auto"/>
        <w:ind w:firstLine="420" w:firstLineChars="200"/>
        <w:rPr>
          <w:color w:val="000000"/>
          <w:sz w:val="21"/>
          <w:lang w:eastAsia="zh-CN"/>
        </w:rPr>
      </w:pPr>
      <w:r>
        <w:rPr>
          <w:rFonts w:hint="eastAsia"/>
          <w:color w:val="000000"/>
          <w:sz w:val="21"/>
          <w:lang w:eastAsia="zh-CN"/>
        </w:rPr>
        <w:t>在标准化环境下，实验动物可重复可量化测定的核心生命指标包括：体重、体温、呼吸频率、心率、血压、血糖等，是动物个体的重要的生命、生理和健康状态指标，也是能客观反映环境饲养条件和实验操作过程相关的应激、创伤、疼痛等</w:t>
      </w:r>
      <w:bookmarkStart w:id="8" w:name="OLE_LINK6"/>
      <w:bookmarkStart w:id="9" w:name="OLE_LINK5"/>
      <w:r>
        <w:rPr>
          <w:rFonts w:hint="eastAsia"/>
          <w:color w:val="000000"/>
          <w:sz w:val="21"/>
          <w:lang w:eastAsia="zh-CN"/>
        </w:rPr>
        <w:t>实验动物福利评价</w:t>
      </w:r>
      <w:bookmarkEnd w:id="8"/>
      <w:bookmarkEnd w:id="9"/>
      <w:r>
        <w:rPr>
          <w:rFonts w:hint="eastAsia"/>
          <w:color w:val="000000"/>
          <w:sz w:val="21"/>
          <w:lang w:eastAsia="zh-CN"/>
        </w:rPr>
        <w:t>的科学量化指标。</w:t>
      </w:r>
    </w:p>
    <w:p w14:paraId="74E1C5E6">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 xml:space="preserve">4  </w:t>
      </w:r>
      <w:r>
        <w:rPr>
          <w:rFonts w:hint="eastAsia" w:ascii="黑体" w:hAnsi="黑体" w:eastAsia="黑体" w:cs="黑体"/>
          <w:color w:val="000000"/>
          <w:sz w:val="21"/>
          <w:lang w:eastAsia="zh-CN"/>
        </w:rPr>
        <w:t>体重测定规范</w:t>
      </w:r>
    </w:p>
    <w:p w14:paraId="3C30147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w:t>
      </w:r>
      <w:r>
        <w:rPr>
          <w:rFonts w:ascii="黑体" w:hAnsi="黑体" w:eastAsia="黑体" w:cs="黑体"/>
          <w:color w:val="000000"/>
          <w:sz w:val="21"/>
          <w:lang w:eastAsia="zh-CN"/>
        </w:rPr>
        <w:t xml:space="preserve">.1 </w:t>
      </w:r>
      <w:r>
        <w:rPr>
          <w:rFonts w:hint="eastAsia" w:ascii="黑体" w:hAnsi="黑体" w:eastAsia="黑体" w:cs="黑体"/>
          <w:color w:val="000000"/>
          <w:sz w:val="21"/>
          <w:lang w:eastAsia="zh-CN"/>
        </w:rPr>
        <w:t>测定方法</w:t>
      </w:r>
    </w:p>
    <w:p w14:paraId="7327B57D">
      <w:pPr>
        <w:spacing w:line="360" w:lineRule="auto"/>
        <w:ind w:firstLine="435"/>
        <w:rPr>
          <w:color w:val="000000"/>
          <w:sz w:val="21"/>
          <w:lang w:eastAsia="zh-CN"/>
        </w:rPr>
      </w:pPr>
      <w:r>
        <w:rPr>
          <w:rFonts w:hint="eastAsia"/>
          <w:color w:val="000000"/>
          <w:sz w:val="21"/>
          <w:lang w:eastAsia="zh-CN"/>
        </w:rPr>
        <w:t>根据动物体型选择相应精度的称量设备。小鼠、大鼠等小型啮齿类使用精度至少为0.1</w:t>
      </w:r>
      <w:r>
        <w:rPr>
          <w:rFonts w:hint="eastAsia"/>
          <w:color w:val="000000"/>
          <w:sz w:val="21"/>
          <w:lang w:val="en-US" w:eastAsia="zh-CN"/>
        </w:rPr>
        <w:t xml:space="preserve"> </w:t>
      </w:r>
      <w:r>
        <w:rPr>
          <w:rFonts w:hint="eastAsia"/>
          <w:color w:val="000000"/>
          <w:sz w:val="21"/>
          <w:lang w:eastAsia="zh-CN"/>
        </w:rPr>
        <w:t>g的电子天平；兔、豚鼠等中型动物使用精度至少为1g的电子天平；犬、猴等大型动物应使用精度至少为10</w:t>
      </w:r>
      <w:r>
        <w:rPr>
          <w:rFonts w:hint="eastAsia"/>
          <w:color w:val="000000"/>
          <w:sz w:val="21"/>
          <w:lang w:val="en-US" w:eastAsia="zh-CN"/>
        </w:rPr>
        <w:t xml:space="preserve"> </w:t>
      </w:r>
      <w:r>
        <w:rPr>
          <w:rFonts w:hint="eastAsia"/>
          <w:color w:val="000000"/>
          <w:sz w:val="21"/>
          <w:lang w:eastAsia="zh-CN"/>
        </w:rPr>
        <w:t>g的称。</w:t>
      </w:r>
    </w:p>
    <w:p w14:paraId="3DA20AA9">
      <w:pPr>
        <w:pStyle w:val="55"/>
        <w:spacing w:line="360" w:lineRule="auto"/>
        <w:ind w:firstLine="420" w:firstLineChars="200"/>
        <w:rPr>
          <w:rFonts w:ascii="Times New Roman" w:hAnsi="Times New Roman" w:cs="Times New Roman"/>
          <w:kern w:val="2"/>
          <w:sz w:val="21"/>
        </w:rPr>
      </w:pPr>
      <w:r>
        <w:rPr>
          <w:rFonts w:hint="eastAsia"/>
          <w:sz w:val="21"/>
        </w:rPr>
        <w:t>定期校准称量设备（每年至少</w:t>
      </w:r>
      <w:r>
        <w:rPr>
          <w:rFonts w:ascii="Times New Roman" w:hAnsi="Times New Roman" w:cs="Times New Roman"/>
          <w:sz w:val="21"/>
        </w:rPr>
        <w:t>1</w:t>
      </w:r>
      <w:r>
        <w:rPr>
          <w:rFonts w:hint="eastAsia"/>
          <w:sz w:val="21"/>
        </w:rPr>
        <w:t xml:space="preserve">次），记录环境温湿度，群养动物需单独标记并隔离称重，避免群体应激。相关环境指标参考 </w:t>
      </w:r>
      <w:r>
        <w:rPr>
          <w:rFonts w:hint="eastAsia" w:ascii="Times New Roman" w:hAnsi="Times New Roman" w:cs="Times New Roman"/>
          <w:kern w:val="2"/>
          <w:sz w:val="21"/>
        </w:rPr>
        <w:t>GB 14925-2023。记录和报告的格式参考</w:t>
      </w:r>
      <w:r>
        <w:rPr>
          <w:rFonts w:ascii="Times New Roman" w:hAnsi="Times New Roman" w:cs="Times New Roman"/>
          <w:kern w:val="2"/>
          <w:sz w:val="21"/>
        </w:rPr>
        <w:t>GB</w:t>
      </w:r>
      <w:r>
        <w:rPr>
          <w:rFonts w:hint="eastAsia" w:ascii="Times New Roman" w:hAnsi="Times New Roman" w:cs="Times New Roman"/>
          <w:kern w:val="2"/>
          <w:sz w:val="21"/>
        </w:rPr>
        <w:t>/</w:t>
      </w:r>
      <w:r>
        <w:rPr>
          <w:rFonts w:ascii="Times New Roman" w:hAnsi="Times New Roman" w:cs="Times New Roman"/>
          <w:kern w:val="2"/>
          <w:sz w:val="21"/>
        </w:rPr>
        <w:t>T 39646-2020</w:t>
      </w:r>
      <w:r>
        <w:rPr>
          <w:rFonts w:hint="eastAsia" w:ascii="Times New Roman" w:hAnsi="Times New Roman" w:cs="Times New Roman"/>
          <w:kern w:val="2"/>
          <w:sz w:val="21"/>
        </w:rPr>
        <w:t>。</w:t>
      </w:r>
    </w:p>
    <w:p w14:paraId="033B78D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w:t>
      </w:r>
      <w:r>
        <w:rPr>
          <w:rFonts w:ascii="黑体" w:hAnsi="黑体" w:eastAsia="黑体" w:cs="黑体"/>
          <w:color w:val="000000"/>
          <w:sz w:val="21"/>
          <w:lang w:eastAsia="zh-CN"/>
        </w:rPr>
        <w:t xml:space="preserve">.2 </w:t>
      </w:r>
      <w:r>
        <w:rPr>
          <w:rFonts w:hint="eastAsia" w:ascii="黑体" w:hAnsi="黑体" w:eastAsia="黑体" w:cs="黑体"/>
          <w:color w:val="000000"/>
          <w:sz w:val="21"/>
          <w:lang w:eastAsia="zh-CN"/>
        </w:rPr>
        <w:t>操作流程</w:t>
      </w:r>
    </w:p>
    <w:p w14:paraId="2BC59E68">
      <w:pPr>
        <w:pStyle w:val="55"/>
        <w:spacing w:line="360" w:lineRule="auto"/>
        <w:ind w:firstLine="420" w:firstLineChars="200"/>
        <w:rPr>
          <w:rFonts w:ascii="Times New Roman" w:hAnsi="Times New Roman" w:cs="Times New Roman"/>
          <w:kern w:val="2"/>
          <w:sz w:val="21"/>
        </w:rPr>
      </w:pPr>
      <w:r>
        <w:rPr>
          <w:rFonts w:hint="eastAsia"/>
          <w:sz w:val="21"/>
        </w:rPr>
        <w:t>称量前应禁食不禁水不超过</w:t>
      </w:r>
      <w:r>
        <w:rPr>
          <w:rFonts w:ascii="Times New Roman" w:hAnsi="Times New Roman" w:cs="Times New Roman"/>
          <w:sz w:val="21"/>
        </w:rPr>
        <w:t>12</w:t>
      </w:r>
      <w:r>
        <w:rPr>
          <w:rFonts w:hint="eastAsia" w:ascii="Times New Roman" w:hAnsi="Times New Roman" w:cs="Times New Roman"/>
          <w:sz w:val="21"/>
          <w:lang w:val="en-US" w:eastAsia="zh-CN"/>
        </w:rPr>
        <w:t xml:space="preserve"> </w:t>
      </w:r>
      <w:r>
        <w:rPr>
          <w:rFonts w:hint="eastAsia"/>
          <w:sz w:val="21"/>
        </w:rPr>
        <w:t>小时（小鼠一般为</w:t>
      </w:r>
      <w:r>
        <w:rPr>
          <w:rFonts w:ascii="Times New Roman" w:hAnsi="Times New Roman" w:cs="Times New Roman"/>
          <w:sz w:val="21"/>
        </w:rPr>
        <w:t>4</w:t>
      </w:r>
      <w:r>
        <w:rPr>
          <w:rFonts w:hint="eastAsia"/>
          <w:sz w:val="21"/>
        </w:rPr>
        <w:t>小时</w:t>
      </w:r>
      <w:r>
        <w:rPr>
          <w:rFonts w:hint="eastAsia"/>
          <w:sz w:val="21"/>
          <w:lang w:val="en-US" w:eastAsia="zh-CN"/>
        </w:rPr>
        <w:t>~</w:t>
      </w:r>
      <w:r>
        <w:rPr>
          <w:rFonts w:ascii="Times New Roman" w:hAnsi="Times New Roman" w:cs="Times New Roman"/>
          <w:sz w:val="21"/>
        </w:rPr>
        <w:t>6</w:t>
      </w:r>
      <w:r>
        <w:rPr>
          <w:rFonts w:hint="eastAsia"/>
          <w:sz w:val="21"/>
        </w:rPr>
        <w:t>小时），以消除食物对体重的影响。称量时，将动物平稳转移至称量平台，待数值稳定后记录。对易挣扎动物（如兔、猫）可采用毛巾包裹法限制活动；犬类需训练适应称重或采用实验人员怀抱称重法（总重减去实验人员体重）。测量时应遵循</w:t>
      </w:r>
      <w:r>
        <w:rPr>
          <w:rFonts w:ascii="Times New Roman" w:hAnsi="Times New Roman" w:cs="Times New Roman"/>
          <w:kern w:val="2"/>
          <w:sz w:val="21"/>
        </w:rPr>
        <w:t>GB/T 42011-2022</w:t>
      </w:r>
      <w:r>
        <w:rPr>
          <w:rFonts w:hint="eastAsia" w:ascii="Times New Roman" w:hAnsi="Times New Roman" w:cs="Times New Roman"/>
          <w:kern w:val="2"/>
          <w:sz w:val="21"/>
        </w:rPr>
        <w:t>的相关要求，保障动物福利。</w:t>
      </w:r>
      <w:r>
        <w:rPr>
          <w:rFonts w:hint="eastAsia"/>
          <w:sz w:val="21"/>
        </w:rPr>
        <w:t>长期、连续测量体重需固定时间间隔（通常每周</w:t>
      </w:r>
      <w:r>
        <w:rPr>
          <w:rFonts w:ascii="Times New Roman" w:hAnsi="Times New Roman" w:cs="Times New Roman"/>
          <w:sz w:val="21"/>
        </w:rPr>
        <w:t>1</w:t>
      </w:r>
      <w:r>
        <w:rPr>
          <w:rFonts w:hint="eastAsia"/>
          <w:sz w:val="21"/>
        </w:rPr>
        <w:t>次）并在相同时间段（如均在上午</w:t>
      </w:r>
      <w:r>
        <w:rPr>
          <w:rFonts w:ascii="Times New Roman" w:hAnsi="Times New Roman" w:cs="Times New Roman"/>
          <w:sz w:val="21"/>
        </w:rPr>
        <w:t>9</w:t>
      </w:r>
      <w:r>
        <w:rPr>
          <w:rFonts w:hint="eastAsia" w:ascii="Times New Roman" w:hAnsi="Times New Roman" w:cs="Times New Roman"/>
          <w:sz w:val="21"/>
          <w:lang w:val="en-US" w:eastAsia="zh-CN"/>
        </w:rPr>
        <w:t>点~</w:t>
      </w:r>
      <w:r>
        <w:rPr>
          <w:rFonts w:ascii="Times New Roman" w:hAnsi="Times New Roman" w:cs="Times New Roman"/>
          <w:sz w:val="21"/>
        </w:rPr>
        <w:t>10</w:t>
      </w:r>
      <w:r>
        <w:rPr>
          <w:rFonts w:hint="eastAsia"/>
          <w:sz w:val="21"/>
        </w:rPr>
        <w:t>点）进行测量，以减少昼夜波动影响。若为多胎动物，幼崽出生时可能会因每胎数量的多少，体重有所差异。实验动物正常的体重参照附录</w:t>
      </w:r>
      <w:r>
        <w:rPr>
          <w:rFonts w:ascii="Times New Roman" w:hAnsi="Times New Roman" w:cs="Times New Roman"/>
          <w:sz w:val="21"/>
        </w:rPr>
        <w:t>A</w:t>
      </w:r>
      <w:r>
        <w:rPr>
          <w:rFonts w:hint="eastAsia"/>
          <w:sz w:val="21"/>
        </w:rPr>
        <w:t>。</w:t>
      </w:r>
    </w:p>
    <w:p w14:paraId="3883FDA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体温测定规范</w:t>
      </w:r>
    </w:p>
    <w:p w14:paraId="262B0967">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 xml:space="preserve">5.1 </w:t>
      </w:r>
      <w:r>
        <w:rPr>
          <w:rFonts w:hint="eastAsia" w:ascii="黑体" w:hAnsi="黑体" w:eastAsia="黑体" w:cs="黑体"/>
          <w:color w:val="000000"/>
          <w:sz w:val="21"/>
          <w:lang w:eastAsia="zh-CN"/>
        </w:rPr>
        <w:t>测定方法</w:t>
      </w:r>
    </w:p>
    <w:p w14:paraId="24EEC92E">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5.1.1 直肠测温 </w:t>
      </w:r>
    </w:p>
    <w:p w14:paraId="69F29A15">
      <w:pPr>
        <w:spacing w:line="360" w:lineRule="auto"/>
        <w:ind w:firstLine="435"/>
        <w:rPr>
          <w:color w:val="000000"/>
          <w:sz w:val="21"/>
          <w:lang w:eastAsia="zh-CN"/>
        </w:rPr>
      </w:pPr>
      <w:r>
        <w:rPr>
          <w:rFonts w:hint="eastAsia"/>
          <w:color w:val="000000"/>
          <w:sz w:val="21"/>
          <w:lang w:eastAsia="zh-CN"/>
        </w:rPr>
        <w:t>直肠测温是较为常用的方法，根据动物体型选择探头直径和插入深度：</w:t>
      </w:r>
    </w:p>
    <w:p w14:paraId="1B24EA80">
      <w:pPr>
        <w:spacing w:line="360" w:lineRule="auto"/>
        <w:ind w:firstLine="435"/>
        <w:rPr>
          <w:color w:val="000000"/>
          <w:sz w:val="21"/>
          <w:lang w:eastAsia="zh-CN"/>
        </w:rPr>
      </w:pPr>
      <w:r>
        <w:rPr>
          <w:rFonts w:hint="eastAsia"/>
          <w:color w:val="000000"/>
          <w:sz w:val="21"/>
          <w:lang w:eastAsia="zh-CN"/>
        </w:rPr>
        <w:t>小鼠/大鼠：1.5 cm</w:t>
      </w:r>
      <w:r>
        <w:rPr>
          <w:rFonts w:hint="eastAsia"/>
          <w:color w:val="000000"/>
          <w:sz w:val="21"/>
          <w:lang w:val="en-US" w:eastAsia="zh-CN"/>
        </w:rPr>
        <w:t>~</w:t>
      </w:r>
      <w:r>
        <w:rPr>
          <w:rFonts w:hint="eastAsia"/>
          <w:color w:val="000000"/>
          <w:sz w:val="21"/>
          <w:lang w:eastAsia="zh-CN"/>
        </w:rPr>
        <w:t>2.0 cm</w:t>
      </w:r>
    </w:p>
    <w:p w14:paraId="197CB2E7">
      <w:pPr>
        <w:spacing w:line="360" w:lineRule="auto"/>
        <w:ind w:firstLine="435"/>
        <w:rPr>
          <w:color w:val="000000"/>
          <w:sz w:val="21"/>
          <w:lang w:eastAsia="zh-CN"/>
        </w:rPr>
      </w:pPr>
      <w:r>
        <w:rPr>
          <w:rFonts w:hint="eastAsia"/>
          <w:color w:val="000000"/>
          <w:sz w:val="21"/>
          <w:lang w:eastAsia="zh-CN"/>
        </w:rPr>
        <w:t>豚鼠：3.5 cm</w:t>
      </w:r>
    </w:p>
    <w:p w14:paraId="1FB09879">
      <w:pPr>
        <w:spacing w:line="360" w:lineRule="auto"/>
        <w:ind w:firstLine="435"/>
        <w:rPr>
          <w:color w:val="000000"/>
          <w:sz w:val="21"/>
          <w:lang w:eastAsia="zh-CN"/>
        </w:rPr>
      </w:pPr>
      <w:r>
        <w:rPr>
          <w:rFonts w:hint="eastAsia"/>
          <w:color w:val="000000"/>
          <w:sz w:val="21"/>
          <w:lang w:eastAsia="zh-CN"/>
        </w:rPr>
        <w:t>兔/猫：3.5 cm</w:t>
      </w:r>
      <w:r>
        <w:rPr>
          <w:rFonts w:hint="eastAsia"/>
          <w:color w:val="000000"/>
          <w:sz w:val="21"/>
          <w:lang w:val="en-US" w:eastAsia="zh-CN"/>
        </w:rPr>
        <w:t>~</w:t>
      </w:r>
      <w:r>
        <w:rPr>
          <w:rFonts w:hint="eastAsia"/>
          <w:color w:val="000000"/>
          <w:sz w:val="21"/>
          <w:lang w:eastAsia="zh-CN"/>
        </w:rPr>
        <w:t>5.0 cm</w:t>
      </w:r>
    </w:p>
    <w:p w14:paraId="78ADD6FC">
      <w:pPr>
        <w:spacing w:line="360" w:lineRule="auto"/>
        <w:ind w:firstLine="435"/>
        <w:rPr>
          <w:color w:val="000000"/>
          <w:sz w:val="21"/>
          <w:lang w:eastAsia="zh-CN"/>
        </w:rPr>
      </w:pPr>
      <w:r>
        <w:rPr>
          <w:rFonts w:hint="eastAsia"/>
          <w:color w:val="000000"/>
          <w:sz w:val="21"/>
          <w:lang w:eastAsia="zh-CN"/>
        </w:rPr>
        <w:t>犬/猴：5.0 cm</w:t>
      </w:r>
      <w:r>
        <w:rPr>
          <w:rFonts w:hint="eastAsia"/>
          <w:color w:val="000000"/>
          <w:sz w:val="21"/>
          <w:lang w:val="en-US" w:eastAsia="zh-CN"/>
        </w:rPr>
        <w:t>~</w:t>
      </w:r>
      <w:r>
        <w:rPr>
          <w:rFonts w:hint="eastAsia"/>
          <w:color w:val="000000"/>
          <w:sz w:val="21"/>
          <w:lang w:eastAsia="zh-CN"/>
        </w:rPr>
        <w:t xml:space="preserve">7.0 cm </w:t>
      </w:r>
    </w:p>
    <w:p w14:paraId="16D19AE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5.1.2 红外测温</w:t>
      </w:r>
    </w:p>
    <w:p w14:paraId="796A1ADB">
      <w:pPr>
        <w:spacing w:line="360" w:lineRule="auto"/>
        <w:ind w:firstLine="435"/>
        <w:rPr>
          <w:color w:val="000000"/>
          <w:sz w:val="21"/>
          <w:lang w:eastAsia="zh-CN"/>
        </w:rPr>
      </w:pPr>
      <w:r>
        <w:rPr>
          <w:rFonts w:hint="eastAsia"/>
          <w:color w:val="000000"/>
          <w:sz w:val="21"/>
          <w:lang w:eastAsia="zh-CN"/>
        </w:rPr>
        <w:t>利用红外测温仪器进行体温检测，为非接触检测方法，可在短时间内快速完成测温。</w:t>
      </w:r>
    </w:p>
    <w:p w14:paraId="54159E36">
      <w:pPr>
        <w:pStyle w:val="55"/>
        <w:spacing w:line="360" w:lineRule="auto"/>
        <w:ind w:firstLine="420" w:firstLineChars="200"/>
        <w:rPr>
          <w:sz w:val="21"/>
        </w:rPr>
      </w:pPr>
      <w:r>
        <w:rPr>
          <w:rFonts w:hint="eastAsia"/>
          <w:sz w:val="21"/>
        </w:rPr>
        <w:t>两种方法在测量时，环境温度应维持合适的范围。低温环境（</w:t>
      </w:r>
      <w:r>
        <w:rPr>
          <w:rFonts w:ascii="Times New Roman" w:hAnsi="Times New Roman" w:cs="Times New Roman"/>
          <w:sz w:val="21"/>
        </w:rPr>
        <w:t>&lt;15</w:t>
      </w:r>
      <w:r>
        <w:rPr>
          <w:rFonts w:hint="eastAsia" w:ascii="Times New Roman" w:hAnsi="Times New Roman" w:cs="Times New Roman"/>
          <w:sz w:val="21"/>
          <w:lang w:val="en-US" w:eastAsia="zh-CN"/>
        </w:rPr>
        <w:t xml:space="preserve"> </w:t>
      </w:r>
      <w:r>
        <w:rPr>
          <w:rFonts w:ascii="宋体" w:hAnsi="宋体" w:cs="Cambria Math"/>
          <w:sz w:val="21"/>
        </w:rPr>
        <w:t>℃</w:t>
      </w:r>
      <w:r>
        <w:rPr>
          <w:rFonts w:hint="eastAsia"/>
          <w:sz w:val="21"/>
        </w:rPr>
        <w:t>）可导致体温降低</w:t>
      </w:r>
      <w:r>
        <w:rPr>
          <w:rFonts w:ascii="Times New Roman" w:hAnsi="Times New Roman" w:cs="Times New Roman"/>
          <w:sz w:val="21"/>
        </w:rPr>
        <w:t>1</w:t>
      </w:r>
      <w:r>
        <w:rPr>
          <w:rFonts w:hint="eastAsia" w:ascii="Times New Roman" w:hAnsi="Times New Roman" w:cs="Times New Roman"/>
          <w:sz w:val="21"/>
          <w:lang w:val="en-US" w:eastAsia="zh-CN"/>
        </w:rPr>
        <w:t xml:space="preserve"> </w:t>
      </w:r>
      <w:r>
        <w:rPr>
          <w:rFonts w:hint="eastAsia"/>
          <w:sz w:val="21"/>
        </w:rPr>
        <w:t>℃</w:t>
      </w:r>
      <w:r>
        <w:rPr>
          <w:rFonts w:hint="eastAsia" w:ascii="Times New Roman" w:hAnsi="Times New Roman" w:cs="Times New Roman"/>
          <w:sz w:val="21"/>
          <w:lang w:val="en-US" w:eastAsia="zh-CN"/>
        </w:rPr>
        <w:t>~</w:t>
      </w:r>
      <w:r>
        <w:rPr>
          <w:rFonts w:ascii="Times New Roman" w:hAnsi="Times New Roman" w:cs="Times New Roman"/>
          <w:sz w:val="21"/>
        </w:rPr>
        <w:t>3</w:t>
      </w:r>
      <w:r>
        <w:rPr>
          <w:rFonts w:hint="eastAsia" w:ascii="Times New Roman" w:hAnsi="Times New Roman" w:cs="Times New Roman"/>
          <w:sz w:val="21"/>
          <w:lang w:val="en-US" w:eastAsia="zh-CN"/>
        </w:rPr>
        <w:t xml:space="preserve"> </w:t>
      </w:r>
      <w:r>
        <w:rPr>
          <w:rFonts w:hint="eastAsia"/>
          <w:sz w:val="21"/>
        </w:rPr>
        <w:t>℃，高温环境（</w:t>
      </w:r>
      <w:r>
        <w:rPr>
          <w:rFonts w:ascii="Times New Roman" w:hAnsi="Times New Roman" w:cs="Times New Roman"/>
          <w:sz w:val="21"/>
        </w:rPr>
        <w:t>&gt;30</w:t>
      </w:r>
      <w:r>
        <w:rPr>
          <w:rFonts w:hint="eastAsia" w:ascii="Times New Roman" w:hAnsi="Times New Roman" w:cs="Times New Roman"/>
          <w:sz w:val="21"/>
          <w:lang w:val="en-US" w:eastAsia="zh-CN"/>
        </w:rPr>
        <w:t xml:space="preserve"> </w:t>
      </w:r>
      <w:r>
        <w:rPr>
          <w:rFonts w:hint="eastAsia"/>
          <w:sz w:val="21"/>
        </w:rPr>
        <w:t xml:space="preserve">℃）则可能引发应激性升温。相关环境指标参考 </w:t>
      </w:r>
      <w:r>
        <w:rPr>
          <w:rFonts w:hint="eastAsia" w:ascii="Times New Roman" w:hAnsi="Times New Roman" w:cs="Times New Roman"/>
          <w:kern w:val="2"/>
          <w:sz w:val="21"/>
        </w:rPr>
        <w:t>GB 14925-2023。</w:t>
      </w:r>
      <w:r>
        <w:rPr>
          <w:rFonts w:hint="eastAsia"/>
          <w:sz w:val="21"/>
        </w:rPr>
        <w:t>检查肛表水银柱是否已在最低刻度线以下</w:t>
      </w:r>
      <w:r>
        <w:rPr>
          <w:sz w:val="21"/>
        </w:rPr>
        <w:t>，半导体温度计的指针是否指在零位</w:t>
      </w:r>
      <w:r>
        <w:rPr>
          <w:rFonts w:hint="eastAsia"/>
          <w:sz w:val="21"/>
        </w:rPr>
        <w:t>。</w:t>
      </w:r>
    </w:p>
    <w:p w14:paraId="0004A759">
      <w:pPr>
        <w:spacing w:line="360" w:lineRule="auto"/>
        <w:ind w:firstLine="420"/>
        <w:rPr>
          <w:color w:val="000000"/>
          <w:sz w:val="21"/>
          <w:lang w:eastAsia="zh-CN"/>
        </w:rPr>
      </w:pPr>
      <w:r>
        <w:rPr>
          <w:rFonts w:hint="eastAsia"/>
          <w:color w:val="000000"/>
          <w:sz w:val="21"/>
          <w:lang w:eastAsia="zh-CN"/>
        </w:rPr>
        <w:t>操作需轻柔，避免损伤直肠黏膜；发现粪便阻塞时需清洁后重测；测定时尽可能使动物处于自然状态，勿使其过于紧张、恐惧，群居动物应单独测量以减少社交应激。测量时应遵循</w:t>
      </w:r>
      <w:r>
        <w:rPr>
          <w:kern w:val="2"/>
          <w:sz w:val="21"/>
          <w:lang w:eastAsia="zh-CN"/>
        </w:rPr>
        <w:t>GB/T 42011-2022</w:t>
      </w:r>
      <w:r>
        <w:rPr>
          <w:rFonts w:hint="eastAsia"/>
          <w:kern w:val="2"/>
          <w:sz w:val="21"/>
          <w:lang w:eastAsia="zh-CN"/>
        </w:rPr>
        <w:t>的相关要求，保障动物福利。</w:t>
      </w:r>
    </w:p>
    <w:p w14:paraId="7181485C">
      <w:pPr>
        <w:spacing w:line="360" w:lineRule="auto"/>
        <w:ind w:firstLine="420"/>
        <w:rPr>
          <w:color w:val="FF0000"/>
          <w:sz w:val="21"/>
          <w:lang w:eastAsia="zh-CN"/>
        </w:rPr>
      </w:pPr>
      <w:r>
        <w:rPr>
          <w:rFonts w:hint="eastAsia"/>
          <w:color w:val="000000"/>
          <w:sz w:val="21"/>
          <w:lang w:eastAsia="zh-CN"/>
        </w:rPr>
        <w:t>红外测温受环境影响较大，且市面上产品泛滥，应注意产品的选择，以及同一批检测时测温仪器与动物的距离保持一致，不同时间测量时保持环境一致性</w:t>
      </w:r>
      <w:r>
        <w:rPr>
          <w:rFonts w:hint="eastAsia"/>
          <w:sz w:val="21"/>
          <w:lang w:eastAsia="zh-CN"/>
        </w:rPr>
        <w:t>。此外，红外测温仪的测定值与直肠测温的测定值，二者之间可经过曲线拟合建立温度数值对应关系，以保障结果更准确。</w:t>
      </w:r>
    </w:p>
    <w:p w14:paraId="121277A9">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w:t>
      </w:r>
      <w:r>
        <w:rPr>
          <w:rFonts w:ascii="黑体" w:hAnsi="黑体" w:eastAsia="黑体" w:cs="黑体"/>
          <w:color w:val="000000"/>
          <w:sz w:val="21"/>
          <w:lang w:eastAsia="zh-CN"/>
        </w:rPr>
        <w:t xml:space="preserve">.2 </w:t>
      </w:r>
      <w:r>
        <w:rPr>
          <w:rFonts w:hint="eastAsia" w:ascii="黑体" w:hAnsi="黑体" w:eastAsia="黑体" w:cs="黑体"/>
          <w:color w:val="000000"/>
          <w:sz w:val="21"/>
          <w:lang w:eastAsia="zh-CN"/>
        </w:rPr>
        <w:t>操作流程</w:t>
      </w:r>
    </w:p>
    <w:p w14:paraId="54F278DB">
      <w:pPr>
        <w:spacing w:line="360" w:lineRule="auto"/>
        <w:ind w:firstLine="420" w:firstLineChars="200"/>
        <w:rPr>
          <w:color w:val="000000"/>
          <w:sz w:val="21"/>
          <w:lang w:eastAsia="zh-CN"/>
        </w:rPr>
      </w:pPr>
      <w:r>
        <w:rPr>
          <w:color w:val="000000"/>
          <w:sz w:val="21"/>
          <w:lang w:eastAsia="zh-CN"/>
        </w:rPr>
        <w:t>在测定前应先固定好动物</w:t>
      </w:r>
      <w:r>
        <w:rPr>
          <w:rFonts w:hint="eastAsia"/>
          <w:color w:val="000000"/>
          <w:sz w:val="21"/>
          <w:lang w:eastAsia="zh-CN"/>
        </w:rPr>
        <w:t>，直肠测温法使用的探头应涂抹无菌石蜡油，以减少摩擦损伤，小心插入动物的肛门，保持稳定测量时间固定为3分钟（普通肛表）或至数值稳定（电子测温仪）。对小型啮齿类动物，可在探头加装橡胶限位环，防止插入过深。</w:t>
      </w:r>
      <w:r>
        <w:rPr>
          <w:color w:val="000000"/>
          <w:sz w:val="21"/>
          <w:lang w:eastAsia="zh-CN"/>
        </w:rPr>
        <w:t>连续测定2～3次，取平均值</w:t>
      </w:r>
      <w:r>
        <w:rPr>
          <w:rFonts w:hint="eastAsia"/>
          <w:color w:val="000000"/>
          <w:sz w:val="21"/>
          <w:lang w:eastAsia="zh-CN"/>
        </w:rPr>
        <w:t>。实验动物正常的体温范围参照附录</w:t>
      </w:r>
      <w:r>
        <w:rPr>
          <w:color w:val="000000"/>
          <w:sz w:val="21"/>
          <w:lang w:eastAsia="zh-CN"/>
        </w:rPr>
        <w:t>A</w:t>
      </w:r>
      <w:r>
        <w:rPr>
          <w:rFonts w:hint="eastAsia"/>
          <w:color w:val="000000"/>
          <w:sz w:val="21"/>
          <w:lang w:eastAsia="zh-CN"/>
        </w:rPr>
        <w:t>。</w:t>
      </w:r>
    </w:p>
    <w:p w14:paraId="22B21491">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6  呼吸频率测定规范</w:t>
      </w:r>
    </w:p>
    <w:p w14:paraId="4CB1EA61">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6.1</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测定方法</w:t>
      </w:r>
    </w:p>
    <w:p w14:paraId="6CC9437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6.1.1人工记录法 </w:t>
      </w:r>
    </w:p>
    <w:p w14:paraId="1D61F730">
      <w:pPr>
        <w:spacing w:line="360" w:lineRule="auto"/>
        <w:rPr>
          <w:color w:val="000000"/>
          <w:sz w:val="21"/>
          <w:lang w:eastAsia="zh-CN"/>
        </w:rPr>
      </w:pPr>
      <w:r>
        <w:rPr>
          <w:rFonts w:hint="eastAsia"/>
          <w:color w:val="000000"/>
          <w:sz w:val="21"/>
          <w:lang w:eastAsia="zh-CN"/>
        </w:rPr>
        <w:t xml:space="preserve">    以肉眼观察并记录呼吸的次数，或用听诊器进行人工记录，一般要求记录1分钟的呼吸次数。适用于犬、猪等大中型实验动物。</w:t>
      </w:r>
    </w:p>
    <w:p w14:paraId="2EADBDD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6.1.2仪器测量法</w:t>
      </w:r>
    </w:p>
    <w:p w14:paraId="03E2333B">
      <w:pPr>
        <w:spacing w:line="360" w:lineRule="auto"/>
        <w:ind w:firstLine="420"/>
        <w:rPr>
          <w:color w:val="000000"/>
          <w:sz w:val="21"/>
          <w:lang w:eastAsia="zh-CN"/>
        </w:rPr>
      </w:pPr>
      <w:r>
        <w:rPr>
          <w:rFonts w:hint="eastAsia"/>
          <w:color w:val="000000"/>
          <w:sz w:val="21"/>
          <w:lang w:eastAsia="zh-CN"/>
        </w:rPr>
        <w:t>使用生理记录仪进行测定：将张力换能器与记录仪和动物相连。经换能器导线输入记录仪，换能器弹簧经细线固定于动物体表一定位置（一般为剑突位置），使细线牵张力适度。按待测的呼吸范围需要选择适当的灵敏度、时间常数、滤波后，将前置测量开关置于通的位置。按下走纸速度键，即可描记</w:t>
      </w:r>
      <w:r>
        <w:rPr>
          <w:rFonts w:hint="eastAsia"/>
          <w:sz w:val="21"/>
          <w:lang w:eastAsia="zh-CN"/>
        </w:rPr>
        <w:t>呼吸次数和变化曲线。</w:t>
      </w:r>
      <w:r>
        <w:rPr>
          <w:rFonts w:hint="eastAsia"/>
          <w:color w:val="000000"/>
          <w:sz w:val="21"/>
          <w:lang w:eastAsia="zh-CN"/>
        </w:rPr>
        <w:t xml:space="preserve"> </w:t>
      </w:r>
    </w:p>
    <w:p w14:paraId="22CE568A">
      <w:pPr>
        <w:pStyle w:val="55"/>
        <w:spacing w:line="360" w:lineRule="auto"/>
        <w:ind w:firstLine="420" w:firstLineChars="200"/>
        <w:rPr>
          <w:rFonts w:ascii="Times New Roman" w:hAnsi="Times New Roman" w:cs="Times New Roman"/>
          <w:kern w:val="2"/>
          <w:sz w:val="21"/>
        </w:rPr>
      </w:pPr>
      <w:r>
        <w:rPr>
          <w:rFonts w:hint="eastAsia"/>
          <w:sz w:val="21"/>
        </w:rPr>
        <w:t xml:space="preserve">两种方法在测量时环境温度应维持在一定范围，高温可导致呼吸频率加快。测定前需使动物充分适应环境，保持安静。并保持在低噪音和正常照度的房间内进行测量，减少环境带来的应激。相关环境指标参考 </w:t>
      </w:r>
      <w:r>
        <w:rPr>
          <w:rFonts w:hint="eastAsia" w:ascii="Times New Roman" w:hAnsi="Times New Roman" w:cs="Times New Roman"/>
          <w:kern w:val="2"/>
          <w:sz w:val="21"/>
        </w:rPr>
        <w:t>GB 14925-2023。</w:t>
      </w:r>
      <w:r>
        <w:rPr>
          <w:rFonts w:hint="eastAsia"/>
          <w:sz w:val="21"/>
        </w:rPr>
        <w:t>大动物避开进食</w:t>
      </w:r>
      <w:r>
        <w:rPr>
          <w:rFonts w:ascii="Times New Roman" w:hAnsi="Times New Roman" w:cs="Times New Roman"/>
          <w:sz w:val="21"/>
        </w:rPr>
        <w:t>1</w:t>
      </w:r>
      <w:r>
        <w:rPr>
          <w:rFonts w:hint="eastAsia"/>
          <w:sz w:val="21"/>
        </w:rPr>
        <w:t>小时内。妊娠期动物一般呼吸频率会加快。幼年动物的呼吸频率一般高于成年动物。</w:t>
      </w:r>
      <w:r>
        <w:rPr>
          <w:rFonts w:hint="eastAsia" w:ascii="Times New Roman" w:hAnsi="Times New Roman" w:cs="Times New Roman"/>
          <w:kern w:val="2"/>
          <w:sz w:val="21"/>
        </w:rPr>
        <w:t>记录和报告的格式参考</w:t>
      </w:r>
      <w:r>
        <w:rPr>
          <w:rFonts w:ascii="Times New Roman" w:hAnsi="Times New Roman" w:cs="Times New Roman"/>
          <w:kern w:val="2"/>
          <w:sz w:val="21"/>
        </w:rPr>
        <w:t>GB</w:t>
      </w:r>
      <w:r>
        <w:rPr>
          <w:rFonts w:hint="eastAsia" w:ascii="Times New Roman" w:hAnsi="Times New Roman" w:cs="Times New Roman"/>
          <w:kern w:val="2"/>
          <w:sz w:val="21"/>
        </w:rPr>
        <w:t>/</w:t>
      </w:r>
      <w:r>
        <w:rPr>
          <w:rFonts w:ascii="Times New Roman" w:hAnsi="Times New Roman" w:cs="Times New Roman"/>
          <w:kern w:val="2"/>
          <w:sz w:val="21"/>
        </w:rPr>
        <w:t>T 39646-2020</w:t>
      </w:r>
      <w:r>
        <w:rPr>
          <w:rFonts w:hint="eastAsia" w:ascii="Times New Roman" w:hAnsi="Times New Roman" w:cs="Times New Roman"/>
          <w:kern w:val="2"/>
          <w:sz w:val="21"/>
        </w:rPr>
        <w:t>。</w:t>
      </w:r>
    </w:p>
    <w:p w14:paraId="0137F7EC">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6.2操作流程</w:t>
      </w:r>
    </w:p>
    <w:p w14:paraId="26F73D80">
      <w:pPr>
        <w:spacing w:line="360" w:lineRule="auto"/>
        <w:rPr>
          <w:rFonts w:ascii="黑体" w:hAnsi="黑体" w:eastAsia="黑体" w:cs="黑体"/>
          <w:color w:val="000000"/>
          <w:sz w:val="21"/>
          <w:lang w:eastAsia="zh-CN"/>
        </w:rPr>
      </w:pPr>
      <w:r>
        <w:rPr>
          <w:rFonts w:hint="eastAsia"/>
          <w:color w:val="000000"/>
          <w:sz w:val="21"/>
          <w:lang w:eastAsia="zh-CN"/>
        </w:rPr>
        <w:t xml:space="preserve">    使动物处于相对安静状态，选取合适的方式进行测量，</w:t>
      </w:r>
      <w:r>
        <w:rPr>
          <w:rFonts w:hint="eastAsia"/>
          <w:kern w:val="2"/>
          <w:sz w:val="21"/>
          <w:szCs w:val="21"/>
          <w:lang w:eastAsia="zh-CN"/>
        </w:rPr>
        <w:t>人工记录法可使用计数器进行辅助计数。</w:t>
      </w:r>
      <w:r>
        <w:rPr>
          <w:rFonts w:hint="eastAsia"/>
          <w:color w:val="000000"/>
          <w:sz w:val="21"/>
          <w:lang w:eastAsia="zh-CN"/>
        </w:rPr>
        <w:t>使用仪器测量的应对动物进行麻醉。</w:t>
      </w:r>
      <w:bookmarkStart w:id="10" w:name="OLE_LINK11"/>
      <w:r>
        <w:rPr>
          <w:rFonts w:hint="eastAsia"/>
          <w:color w:val="000000"/>
          <w:sz w:val="21"/>
          <w:lang w:eastAsia="zh-CN"/>
        </w:rPr>
        <w:t>测量时应遵循</w:t>
      </w:r>
      <w:r>
        <w:rPr>
          <w:kern w:val="2"/>
          <w:sz w:val="21"/>
          <w:lang w:eastAsia="zh-CN"/>
        </w:rPr>
        <w:t>GB/T 42011-2022</w:t>
      </w:r>
      <w:r>
        <w:rPr>
          <w:rFonts w:hint="eastAsia"/>
          <w:kern w:val="2"/>
          <w:sz w:val="21"/>
          <w:lang w:eastAsia="zh-CN"/>
        </w:rPr>
        <w:t>的相关要求，保障动物福利。</w:t>
      </w:r>
      <w:bookmarkEnd w:id="10"/>
      <w:r>
        <w:rPr>
          <w:rFonts w:hint="eastAsia"/>
          <w:kern w:val="2"/>
          <w:sz w:val="21"/>
          <w:lang w:eastAsia="zh-CN"/>
        </w:rPr>
        <w:t>测量后记录数据，进行2</w:t>
      </w:r>
      <w:r>
        <w:rPr>
          <w:rFonts w:hint="eastAsia"/>
          <w:kern w:val="2"/>
          <w:sz w:val="21"/>
          <w:lang w:val="en-US" w:eastAsia="zh-CN"/>
        </w:rPr>
        <w:t>次</w:t>
      </w:r>
      <w:r>
        <w:rPr>
          <w:color w:val="000000"/>
          <w:sz w:val="21"/>
          <w:lang w:eastAsia="zh-CN"/>
        </w:rPr>
        <w:t>～</w:t>
      </w:r>
      <w:r>
        <w:rPr>
          <w:kern w:val="2"/>
          <w:sz w:val="21"/>
          <w:lang w:eastAsia="zh-CN"/>
        </w:rPr>
        <w:t>3</w:t>
      </w:r>
      <w:r>
        <w:rPr>
          <w:rFonts w:hint="eastAsia"/>
          <w:kern w:val="2"/>
          <w:sz w:val="21"/>
          <w:lang w:eastAsia="zh-CN"/>
        </w:rPr>
        <w:t>次测量取平均值。</w:t>
      </w:r>
      <w:r>
        <w:rPr>
          <w:rFonts w:hint="eastAsia"/>
          <w:color w:val="000000"/>
          <w:sz w:val="21"/>
          <w:lang w:eastAsia="zh-CN"/>
        </w:rPr>
        <w:t>实验动物正常的呼吸频率范围参照附录</w:t>
      </w:r>
      <w:r>
        <w:rPr>
          <w:sz w:val="21"/>
          <w:lang w:eastAsia="zh-CN"/>
        </w:rPr>
        <w:t>A</w:t>
      </w:r>
      <w:r>
        <w:rPr>
          <w:rFonts w:hint="eastAsia"/>
          <w:sz w:val="21"/>
          <w:lang w:eastAsia="zh-CN"/>
        </w:rPr>
        <w:t>。</w:t>
      </w:r>
    </w:p>
    <w:p w14:paraId="76C75AD4">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  心率测定规范</w:t>
      </w:r>
    </w:p>
    <w:p w14:paraId="0253DE0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测定方法</w:t>
      </w:r>
    </w:p>
    <w:p w14:paraId="77707BE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7.1.1 人工记录</w:t>
      </w:r>
    </w:p>
    <w:p w14:paraId="3EC6D1A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   </w:t>
      </w:r>
      <w:r>
        <w:rPr>
          <w:rFonts w:hint="eastAsia"/>
          <w:color w:val="000000"/>
          <w:sz w:val="21"/>
          <w:lang w:eastAsia="zh-CN"/>
        </w:rPr>
        <w:t xml:space="preserve"> 人工记录主要有触诊法及听诊法，适用于中大型动物（兔、犬、猴）。兔的股动脉位于后肢内侧，犬的股动脉在腹股沟区，用手指轻压股动脉进行触诊，或利用听诊器进行心脏听诊，兔听诊区域为胸骨左侧第3肋-4肋间，犬听诊区域为左侧第5肋间（肘关节后方）。一般计数30秒，重复一次。</w:t>
      </w:r>
    </w:p>
    <w:p w14:paraId="3C86048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7.1.2心电图描记法</w:t>
      </w:r>
    </w:p>
    <w:p w14:paraId="6C60B2D4">
      <w:pPr>
        <w:spacing w:line="360" w:lineRule="auto"/>
        <w:ind w:firstLine="440"/>
        <w:rPr>
          <w:color w:val="000000"/>
          <w:sz w:val="21"/>
          <w:lang w:eastAsia="zh-CN"/>
        </w:rPr>
      </w:pPr>
      <w:r>
        <w:rPr>
          <w:rFonts w:hint="eastAsia"/>
          <w:color w:val="000000"/>
          <w:sz w:val="21"/>
          <w:lang w:eastAsia="zh-CN"/>
        </w:rPr>
        <w:t>小型动物（小鼠、大鼠）因脉搏微弱，且频率较快，推荐采用心电图描记法。电极放置：右前肢（红）、左后肢（绿）、右后肢（黑），记录导联信号。分析R-R间期计算心率，部分心电检测仪器也可以直接读出心率数据，或利用植入式遥测设备进行心电图远程描记。该方法适用于所有实验动物。遥测设备一般可测量清醒状态下的动物心率。</w:t>
      </w:r>
    </w:p>
    <w:p w14:paraId="34B38A3E">
      <w:pPr>
        <w:pStyle w:val="55"/>
        <w:spacing w:line="360" w:lineRule="auto"/>
        <w:ind w:firstLine="420" w:firstLineChars="200"/>
        <w:rPr>
          <w:rFonts w:ascii="Times New Roman" w:hAnsi="Times New Roman" w:cs="Times New Roman"/>
          <w:kern w:val="2"/>
          <w:sz w:val="21"/>
        </w:rPr>
      </w:pPr>
      <w:r>
        <w:rPr>
          <w:rFonts w:hint="eastAsia"/>
          <w:sz w:val="21"/>
        </w:rPr>
        <w:t>两种方法在</w:t>
      </w:r>
      <w:r>
        <w:rPr>
          <w:sz w:val="21"/>
        </w:rPr>
        <w:t>测量时应排除温度、湿度、动物的兴奋状态、健康状况、特殊的生理状况等对</w:t>
      </w:r>
      <w:r>
        <w:rPr>
          <w:rFonts w:hint="eastAsia"/>
          <w:sz w:val="21"/>
        </w:rPr>
        <w:t>心率</w:t>
      </w:r>
      <w:r>
        <w:rPr>
          <w:sz w:val="21"/>
        </w:rPr>
        <w:t>的影响。</w:t>
      </w:r>
      <w:r>
        <w:rPr>
          <w:rFonts w:hint="eastAsia"/>
          <w:sz w:val="21"/>
        </w:rPr>
        <w:t>动物保定方法参考</w:t>
      </w:r>
      <w:r>
        <w:rPr>
          <w:rFonts w:ascii="Times New Roman" w:hAnsi="Times New Roman" w:cs="Times New Roman"/>
          <w:kern w:val="2"/>
          <w:sz w:val="21"/>
        </w:rPr>
        <w:t>GB</w:t>
      </w:r>
      <w:r>
        <w:rPr>
          <w:rFonts w:hint="eastAsia" w:ascii="Times New Roman" w:hAnsi="Times New Roman" w:cs="Times New Roman"/>
          <w:kern w:val="2"/>
          <w:sz w:val="21"/>
        </w:rPr>
        <w:t>/</w:t>
      </w:r>
      <w:r>
        <w:rPr>
          <w:rFonts w:ascii="Times New Roman" w:hAnsi="Times New Roman" w:cs="Times New Roman"/>
          <w:kern w:val="2"/>
          <w:sz w:val="21"/>
        </w:rPr>
        <w:t>T 35823-2018</w:t>
      </w:r>
      <w:r>
        <w:rPr>
          <w:rFonts w:hint="eastAsia" w:ascii="Times New Roman" w:hAnsi="Times New Roman" w:cs="Times New Roman"/>
          <w:kern w:val="2"/>
          <w:sz w:val="21"/>
        </w:rPr>
        <w:t>。记录和报告的格式参考</w:t>
      </w:r>
      <w:r>
        <w:rPr>
          <w:rFonts w:ascii="Times New Roman" w:hAnsi="Times New Roman" w:cs="Times New Roman"/>
          <w:kern w:val="2"/>
          <w:sz w:val="21"/>
        </w:rPr>
        <w:t>GB</w:t>
      </w:r>
      <w:r>
        <w:rPr>
          <w:rFonts w:hint="eastAsia" w:ascii="Times New Roman" w:hAnsi="Times New Roman" w:cs="Times New Roman"/>
          <w:kern w:val="2"/>
          <w:sz w:val="21"/>
        </w:rPr>
        <w:t>/</w:t>
      </w:r>
      <w:r>
        <w:rPr>
          <w:rFonts w:ascii="Times New Roman" w:hAnsi="Times New Roman" w:cs="Times New Roman"/>
          <w:kern w:val="2"/>
          <w:sz w:val="21"/>
        </w:rPr>
        <w:t>T 39646-2020</w:t>
      </w:r>
      <w:r>
        <w:rPr>
          <w:rFonts w:hint="eastAsia" w:ascii="Times New Roman" w:hAnsi="Times New Roman" w:cs="Times New Roman"/>
          <w:kern w:val="2"/>
          <w:sz w:val="21"/>
        </w:rPr>
        <w:t>。</w:t>
      </w:r>
    </w:p>
    <w:p w14:paraId="5324E06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7.2 操作流程 </w:t>
      </w:r>
    </w:p>
    <w:p w14:paraId="3857ADA4">
      <w:pPr>
        <w:spacing w:line="360" w:lineRule="auto"/>
        <w:ind w:firstLine="420" w:firstLineChars="200"/>
        <w:rPr>
          <w:color w:val="000000"/>
          <w:kern w:val="2"/>
          <w:sz w:val="21"/>
          <w:szCs w:val="21"/>
          <w:lang w:eastAsia="zh-CN"/>
        </w:rPr>
      </w:pPr>
      <w:r>
        <w:rPr>
          <w:rFonts w:hint="eastAsia"/>
          <w:color w:val="000000"/>
          <w:sz w:val="21"/>
          <w:szCs w:val="21"/>
          <w:lang w:eastAsia="zh-CN"/>
        </w:rPr>
        <w:t>将动物放置于适宜的环境中，</w:t>
      </w:r>
      <w:r>
        <w:rPr>
          <w:rFonts w:hint="eastAsia"/>
          <w:sz w:val="21"/>
          <w:szCs w:val="21"/>
          <w:lang w:eastAsia="zh-CN"/>
        </w:rPr>
        <w:t>相关环境指标参考</w:t>
      </w:r>
      <w:r>
        <w:rPr>
          <w:rFonts w:hint="eastAsia"/>
          <w:kern w:val="2"/>
          <w:sz w:val="21"/>
          <w:szCs w:val="21"/>
          <w:lang w:eastAsia="zh-CN"/>
        </w:rPr>
        <w:t>GB 14925-2023。人工记录法可使用计数器进行辅助计数。心电图描记法</w:t>
      </w:r>
      <w:r>
        <w:rPr>
          <w:rFonts w:hint="eastAsia"/>
          <w:color w:val="000000"/>
          <w:sz w:val="21"/>
          <w:szCs w:val="21"/>
          <w:lang w:eastAsia="zh-CN"/>
        </w:rPr>
        <w:t>一般需麻醉动物，测量时动物仰卧位，四肢自然张开后保定，安置电极，连接仪器后进行测量，测量需进行</w:t>
      </w:r>
      <w:r>
        <w:rPr>
          <w:rFonts w:hint="eastAsia"/>
          <w:kern w:val="2"/>
          <w:sz w:val="21"/>
          <w:lang w:eastAsia="zh-CN"/>
        </w:rPr>
        <w:t>2</w:t>
      </w:r>
      <w:r>
        <w:rPr>
          <w:rFonts w:hint="eastAsia"/>
          <w:kern w:val="2"/>
          <w:sz w:val="21"/>
          <w:lang w:val="en-US" w:eastAsia="zh-CN"/>
        </w:rPr>
        <w:t>次</w:t>
      </w:r>
      <w:r>
        <w:rPr>
          <w:color w:val="000000"/>
          <w:sz w:val="21"/>
          <w:lang w:eastAsia="zh-CN"/>
        </w:rPr>
        <w:t>～</w:t>
      </w:r>
      <w:r>
        <w:rPr>
          <w:kern w:val="2"/>
          <w:sz w:val="21"/>
          <w:lang w:eastAsia="zh-CN"/>
        </w:rPr>
        <w:t>3</w:t>
      </w:r>
      <w:r>
        <w:rPr>
          <w:rFonts w:hint="eastAsia"/>
          <w:color w:val="000000"/>
          <w:sz w:val="21"/>
          <w:szCs w:val="21"/>
          <w:lang w:eastAsia="zh-CN"/>
        </w:rPr>
        <w:t>次，取平均值。实验动物正常的心率范围参照附录</w:t>
      </w:r>
      <w:r>
        <w:rPr>
          <w:sz w:val="21"/>
          <w:szCs w:val="21"/>
          <w:lang w:eastAsia="zh-CN"/>
        </w:rPr>
        <w:t>A</w:t>
      </w:r>
      <w:r>
        <w:rPr>
          <w:rFonts w:hint="eastAsia"/>
          <w:sz w:val="21"/>
          <w:szCs w:val="21"/>
          <w:lang w:eastAsia="zh-CN"/>
        </w:rPr>
        <w:t>。</w:t>
      </w:r>
    </w:p>
    <w:p w14:paraId="6C23EC6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  血压测定规范</w:t>
      </w:r>
    </w:p>
    <w:p w14:paraId="1B8260B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测定方法</w:t>
      </w:r>
    </w:p>
    <w:p w14:paraId="4D8B1F2E">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8.1.1无创测量</w:t>
      </w:r>
    </w:p>
    <w:p w14:paraId="5588F690">
      <w:pPr>
        <w:spacing w:line="360" w:lineRule="auto"/>
        <w:rPr>
          <w:color w:val="000000"/>
          <w:sz w:val="21"/>
          <w:lang w:eastAsia="zh-CN"/>
        </w:rPr>
      </w:pPr>
      <w:r>
        <w:rPr>
          <w:rFonts w:hint="eastAsia" w:ascii="黑体" w:hAnsi="黑体" w:eastAsia="黑体" w:cs="黑体"/>
          <w:color w:val="000000"/>
          <w:sz w:val="21"/>
          <w:lang w:eastAsia="zh-CN"/>
        </w:rPr>
        <w:t xml:space="preserve">     </w:t>
      </w:r>
      <w:r>
        <w:rPr>
          <w:rFonts w:hint="eastAsia"/>
          <w:color w:val="000000"/>
          <w:sz w:val="21"/>
          <w:lang w:eastAsia="zh-CN"/>
        </w:rPr>
        <w:t>包括尾套法（适用于大小鼠等啮齿类动物，不适用于地鼠）和腿套法（适用于犬猴），用于清醒状态下，动物血压的测量，利用套管充气加压，激光传感器探测血流信号的原理进行检测。</w:t>
      </w:r>
    </w:p>
    <w:p w14:paraId="1825F475">
      <w:pPr>
        <w:pStyle w:val="55"/>
        <w:spacing w:line="360" w:lineRule="auto"/>
        <w:ind w:firstLine="420" w:firstLineChars="200"/>
        <w:rPr>
          <w:rFonts w:ascii="Times New Roman" w:hAnsi="Times New Roman" w:cs="Times New Roman"/>
          <w:kern w:val="2"/>
          <w:sz w:val="21"/>
        </w:rPr>
      </w:pPr>
      <w:r>
        <w:rPr>
          <w:rFonts w:hint="eastAsia"/>
          <w:sz w:val="21"/>
        </w:rPr>
        <w:t>无创测量法需将测量部位预热至血管扩张（</w:t>
      </w:r>
      <w:r>
        <w:rPr>
          <w:rFonts w:ascii="Times New Roman" w:hAnsi="Times New Roman" w:cs="Times New Roman"/>
          <w:sz w:val="21"/>
        </w:rPr>
        <w:t>37</w:t>
      </w:r>
      <w:r>
        <w:rPr>
          <w:rFonts w:hint="eastAsia" w:ascii="Times New Roman" w:hAnsi="Times New Roman" w:cs="Times New Roman"/>
          <w:sz w:val="21"/>
          <w:lang w:val="en-US" w:eastAsia="zh-CN"/>
        </w:rPr>
        <w:t xml:space="preserve"> </w:t>
      </w:r>
      <w:r>
        <w:rPr>
          <w:rFonts w:hint="eastAsia"/>
          <w:sz w:val="21"/>
        </w:rPr>
        <w:t>℃环境</w:t>
      </w:r>
      <w:r>
        <w:rPr>
          <w:rFonts w:ascii="Times New Roman" w:hAnsi="Times New Roman" w:cs="Times New Roman"/>
          <w:sz w:val="21"/>
        </w:rPr>
        <w:t>10</w:t>
      </w:r>
      <w:r>
        <w:rPr>
          <w:rFonts w:hint="eastAsia"/>
          <w:sz w:val="21"/>
        </w:rPr>
        <w:t>分钟），其他环境指标参考</w:t>
      </w:r>
      <w:r>
        <w:rPr>
          <w:rFonts w:hint="eastAsia" w:ascii="Times New Roman" w:hAnsi="Times New Roman" w:cs="Times New Roman"/>
          <w:kern w:val="2"/>
          <w:sz w:val="21"/>
        </w:rPr>
        <w:t>GB 14925-2023。</w:t>
      </w:r>
      <w:r>
        <w:rPr>
          <w:rFonts w:hint="eastAsia"/>
          <w:sz w:val="21"/>
        </w:rPr>
        <w:t>连续测量</w:t>
      </w:r>
      <w:r>
        <w:rPr>
          <w:rFonts w:ascii="Times New Roman" w:hAnsi="Times New Roman" w:cs="Times New Roman"/>
          <w:sz w:val="21"/>
        </w:rPr>
        <w:t>3</w:t>
      </w:r>
      <w:r>
        <w:rPr>
          <w:rFonts w:hint="eastAsia"/>
          <w:sz w:val="21"/>
        </w:rPr>
        <w:t>次取均值。测量频率应小于</w:t>
      </w:r>
      <w:r>
        <w:rPr>
          <w:rFonts w:ascii="Times New Roman" w:hAnsi="Times New Roman" w:cs="Times New Roman"/>
          <w:sz w:val="21"/>
        </w:rPr>
        <w:t>3</w:t>
      </w:r>
      <w:r>
        <w:rPr>
          <w:rFonts w:hint="eastAsia" w:ascii="Times New Roman" w:hAnsi="Times New Roman" w:cs="Times New Roman"/>
          <w:sz w:val="21"/>
          <w:lang w:val="en-US" w:eastAsia="zh-CN"/>
        </w:rPr>
        <w:t xml:space="preserve"> </w:t>
      </w:r>
      <w:r>
        <w:rPr>
          <w:rFonts w:hint="eastAsia"/>
          <w:sz w:val="21"/>
        </w:rPr>
        <w:t>次</w:t>
      </w:r>
      <w:r>
        <w:rPr>
          <w:rFonts w:hint="eastAsia" w:ascii="Times New Roman" w:hAnsi="Times New Roman" w:cs="Times New Roman"/>
          <w:sz w:val="21"/>
        </w:rPr>
        <w:t>每</w:t>
      </w:r>
      <w:r>
        <w:rPr>
          <w:rFonts w:hint="eastAsia"/>
          <w:sz w:val="21"/>
        </w:rPr>
        <w:t>天，间隔大于</w:t>
      </w:r>
      <w:r>
        <w:rPr>
          <w:rFonts w:ascii="Times New Roman" w:hAnsi="Times New Roman" w:cs="Times New Roman"/>
          <w:sz w:val="21"/>
        </w:rPr>
        <w:t>2</w:t>
      </w:r>
      <w:r>
        <w:rPr>
          <w:rFonts w:hint="eastAsia" w:ascii="Times New Roman" w:hAnsi="Times New Roman" w:cs="Times New Roman"/>
          <w:sz w:val="21"/>
          <w:lang w:val="en-US" w:eastAsia="zh-CN"/>
        </w:rPr>
        <w:t xml:space="preserve"> </w:t>
      </w:r>
      <w:r>
        <w:rPr>
          <w:rFonts w:hint="eastAsia"/>
          <w:sz w:val="21"/>
        </w:rPr>
        <w:t>小时。</w:t>
      </w:r>
    </w:p>
    <w:p w14:paraId="2A162F61">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8.1.2 有创测量</w:t>
      </w:r>
    </w:p>
    <w:p w14:paraId="622C5746">
      <w:pPr>
        <w:spacing w:line="360" w:lineRule="auto"/>
        <w:ind w:firstLine="520"/>
        <w:rPr>
          <w:color w:val="000000"/>
          <w:sz w:val="21"/>
          <w:lang w:eastAsia="zh-CN"/>
        </w:rPr>
      </w:pPr>
      <w:r>
        <w:rPr>
          <w:rFonts w:hint="eastAsia"/>
          <w:color w:val="000000"/>
          <w:sz w:val="21"/>
          <w:lang w:eastAsia="zh-CN"/>
        </w:rPr>
        <w:t>测量的精度和灵敏度比无创测量高。经颈动脉或股动脉插管连接压力传感器，或通过包</w:t>
      </w:r>
      <w:r>
        <w:rPr>
          <w:rFonts w:hint="eastAsia"/>
          <w:sz w:val="21"/>
          <w:lang w:eastAsia="zh-CN"/>
        </w:rPr>
        <w:t>埋血压测定植入子遥感传感器</w:t>
      </w:r>
      <w:r>
        <w:rPr>
          <w:rFonts w:hint="eastAsia"/>
          <w:color w:val="000000"/>
          <w:sz w:val="21"/>
          <w:lang w:eastAsia="zh-CN"/>
        </w:rPr>
        <w:t>经无线传输，获取收缩压（SBP）、舒张压（DBP）和平均动脉压（MAP）。一般动物应全身麻醉。</w:t>
      </w:r>
    </w:p>
    <w:p w14:paraId="0C4CC7D4">
      <w:pPr>
        <w:spacing w:line="360" w:lineRule="auto"/>
        <w:ind w:firstLine="420"/>
        <w:rPr>
          <w:color w:val="000000"/>
          <w:sz w:val="21"/>
          <w:lang w:eastAsia="zh-CN"/>
        </w:rPr>
      </w:pPr>
      <w:r>
        <w:rPr>
          <w:rFonts w:hint="eastAsia"/>
          <w:color w:val="000000"/>
          <w:sz w:val="21"/>
          <w:lang w:eastAsia="zh-CN"/>
        </w:rPr>
        <w:t>有创测量需进行动物的麻醉，注意手术操作的规范性，以及熟练性。动物保定方法参考</w:t>
      </w:r>
      <w:r>
        <w:rPr>
          <w:kern w:val="2"/>
          <w:sz w:val="21"/>
          <w:lang w:eastAsia="zh-CN"/>
        </w:rPr>
        <w:t>GB</w:t>
      </w:r>
      <w:r>
        <w:rPr>
          <w:rFonts w:hint="eastAsia"/>
          <w:kern w:val="2"/>
          <w:sz w:val="21"/>
          <w:lang w:eastAsia="zh-CN"/>
        </w:rPr>
        <w:t>/</w:t>
      </w:r>
      <w:r>
        <w:rPr>
          <w:kern w:val="2"/>
          <w:sz w:val="21"/>
          <w:lang w:eastAsia="zh-CN"/>
        </w:rPr>
        <w:t>T 35823-2018</w:t>
      </w:r>
      <w:r>
        <w:rPr>
          <w:rFonts w:hint="eastAsia"/>
          <w:kern w:val="2"/>
          <w:sz w:val="21"/>
          <w:lang w:eastAsia="zh-CN"/>
        </w:rPr>
        <w:t>，</w:t>
      </w:r>
      <w:r>
        <w:rPr>
          <w:rFonts w:hint="eastAsia"/>
          <w:color w:val="000000"/>
          <w:sz w:val="21"/>
          <w:lang w:eastAsia="zh-CN"/>
        </w:rPr>
        <w:t>测量时应遵循</w:t>
      </w:r>
      <w:r>
        <w:rPr>
          <w:kern w:val="2"/>
          <w:sz w:val="21"/>
          <w:lang w:eastAsia="zh-CN"/>
        </w:rPr>
        <w:t>GB/T 42011-2022</w:t>
      </w:r>
      <w:r>
        <w:rPr>
          <w:rFonts w:hint="eastAsia"/>
          <w:kern w:val="2"/>
          <w:sz w:val="21"/>
          <w:lang w:eastAsia="zh-CN"/>
        </w:rPr>
        <w:t>的相关要求，保障动物福利。</w:t>
      </w:r>
    </w:p>
    <w:p w14:paraId="2F98CDD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8.2</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操作流程</w:t>
      </w:r>
    </w:p>
    <w:p w14:paraId="215A9497">
      <w:pPr>
        <w:spacing w:line="360" w:lineRule="auto"/>
        <w:ind w:firstLine="420"/>
        <w:rPr>
          <w:color w:val="000000"/>
          <w:sz w:val="21"/>
          <w:lang w:eastAsia="zh-CN"/>
        </w:rPr>
      </w:pPr>
      <w:r>
        <w:rPr>
          <w:rFonts w:hint="eastAsia"/>
          <w:color w:val="000000"/>
          <w:sz w:val="21"/>
          <w:lang w:eastAsia="zh-CN"/>
        </w:rPr>
        <w:t>根据实验目的选择测量方法，若为无创测量，将动物提前放置在测量环境中适应1小时，连接设备，保定动物，预热测量部位，进行测量。</w:t>
      </w:r>
    </w:p>
    <w:p w14:paraId="7D9CD614">
      <w:pPr>
        <w:spacing w:line="360" w:lineRule="auto"/>
        <w:ind w:firstLine="420"/>
        <w:rPr>
          <w:color w:val="000000"/>
          <w:sz w:val="21"/>
          <w:lang w:eastAsia="zh-CN"/>
        </w:rPr>
      </w:pPr>
      <w:r>
        <w:rPr>
          <w:rFonts w:hint="eastAsia"/>
          <w:color w:val="000000"/>
          <w:sz w:val="21"/>
          <w:lang w:eastAsia="zh-CN"/>
        </w:rPr>
        <w:t>若为有创测量，动物需进行麻醉，经动脉分离后，45度斜切动脉壁，插入肝素化的导管，或包</w:t>
      </w:r>
      <w:r>
        <w:rPr>
          <w:rFonts w:hint="eastAsia"/>
          <w:sz w:val="21"/>
          <w:lang w:eastAsia="zh-CN"/>
        </w:rPr>
        <w:t>埋血压测定植入子</w:t>
      </w:r>
      <w:r>
        <w:rPr>
          <w:rFonts w:hint="eastAsia"/>
          <w:color w:val="000000"/>
          <w:sz w:val="21"/>
          <w:lang w:eastAsia="zh-CN"/>
        </w:rPr>
        <w:t>，连接传感器，进行数据采集。实验动物正常血压的范围参照附录</w:t>
      </w:r>
      <w:r>
        <w:rPr>
          <w:color w:val="000000"/>
          <w:sz w:val="21"/>
          <w:lang w:eastAsia="zh-CN"/>
        </w:rPr>
        <w:t>A</w:t>
      </w:r>
      <w:r>
        <w:rPr>
          <w:rFonts w:hint="eastAsia"/>
          <w:color w:val="000000"/>
          <w:sz w:val="21"/>
          <w:lang w:eastAsia="zh-CN"/>
        </w:rPr>
        <w:t>。</w:t>
      </w:r>
    </w:p>
    <w:p w14:paraId="31725E4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  血糖测定规范</w:t>
      </w:r>
    </w:p>
    <w:p w14:paraId="1CF0C7F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9.1</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测定方法</w:t>
      </w:r>
    </w:p>
    <w:p w14:paraId="21236DC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9.1.1 微创测量</w:t>
      </w:r>
    </w:p>
    <w:p w14:paraId="5E7CA120">
      <w:pPr>
        <w:spacing w:line="360" w:lineRule="auto"/>
        <w:ind w:firstLine="420" w:firstLineChars="200"/>
        <w:rPr>
          <w:color w:val="000000"/>
          <w:sz w:val="21"/>
          <w:lang w:eastAsia="zh-CN"/>
        </w:rPr>
      </w:pPr>
      <w:r>
        <w:rPr>
          <w:rFonts w:hint="eastAsia"/>
          <w:color w:val="000000"/>
          <w:sz w:val="21"/>
          <w:lang w:eastAsia="zh-CN"/>
        </w:rPr>
        <w:t>使用便携式血糖仪进行实验动物血糖的测量。</w:t>
      </w:r>
    </w:p>
    <w:p w14:paraId="7DE3DB94">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9.1.2 实验室分析</w:t>
      </w:r>
    </w:p>
    <w:p w14:paraId="4BC935F9">
      <w:pPr>
        <w:spacing w:line="360" w:lineRule="auto"/>
        <w:ind w:firstLine="420" w:firstLineChars="200"/>
        <w:rPr>
          <w:color w:val="000000"/>
          <w:sz w:val="21"/>
          <w:lang w:eastAsia="zh-CN"/>
        </w:rPr>
      </w:pPr>
      <w:r>
        <w:rPr>
          <w:rFonts w:hint="eastAsia"/>
          <w:color w:val="000000"/>
          <w:sz w:val="21"/>
          <w:lang w:eastAsia="zh-CN"/>
        </w:rPr>
        <w:t>利用全自动生化分析仪进行上样分析，或使用试剂盒进行测定，葡萄糖氧化酶(GOD)法试剂盒，其生化测定的反应原理与血自动生化分析仪测定一致，试剂构成也一样，均为根据Trinder反应原理，葡萄糖在葡萄糖氧化酶(GOD)作用下生成葡萄糖酸和过氧化氢(H</w:t>
      </w:r>
      <w:r>
        <w:rPr>
          <w:rFonts w:hint="eastAsia"/>
          <w:color w:val="000000"/>
          <w:sz w:val="21"/>
          <w:vertAlign w:val="subscript"/>
          <w:lang w:eastAsia="zh-CN"/>
        </w:rPr>
        <w:t>2</w:t>
      </w:r>
      <w:r>
        <w:rPr>
          <w:rFonts w:hint="eastAsia"/>
          <w:color w:val="000000"/>
          <w:sz w:val="21"/>
          <w:lang w:eastAsia="zh-CN"/>
        </w:rPr>
        <w:t>O</w:t>
      </w:r>
      <w:r>
        <w:rPr>
          <w:rFonts w:hint="eastAsia"/>
          <w:color w:val="000000"/>
          <w:sz w:val="21"/>
          <w:vertAlign w:val="subscript"/>
          <w:lang w:eastAsia="zh-CN"/>
        </w:rPr>
        <w:t>2</w:t>
      </w:r>
      <w:r>
        <w:rPr>
          <w:rFonts w:hint="eastAsia"/>
          <w:color w:val="000000"/>
          <w:sz w:val="21"/>
          <w:lang w:eastAsia="zh-CN"/>
        </w:rPr>
        <w:t>)；然后用过氧化物酶(POD)催化过氧化氢，使色原物质生成醌亚胺，颜色的深浅与葡萄糖浓度成正比，可使用分光光度计将酶标板反应孔在规定的nm波长下测定光密度值，通过标准曲线计算血浆葡萄糖浓度，通常血浆用量20</w:t>
      </w:r>
      <w:r>
        <w:rPr>
          <w:color w:val="000000"/>
          <w:sz w:val="21"/>
          <w:lang w:eastAsia="zh-CN"/>
        </w:rPr>
        <w:t>μ</w:t>
      </w:r>
      <w:r>
        <w:rPr>
          <w:rFonts w:hint="eastAsia"/>
          <w:color w:val="000000"/>
          <w:sz w:val="21"/>
          <w:lang w:eastAsia="zh-CN"/>
        </w:rPr>
        <w:t>l。从检测原理看，采用葡萄糖氧化酶(GOD)法试剂盒手工测定，或采用血自动生化分析仪测定，测得的葡萄糖浓度数值远比采用便携式血糖仪测定的数值真实可靠。</w:t>
      </w:r>
    </w:p>
    <w:p w14:paraId="207E6F8E">
      <w:pPr>
        <w:spacing w:line="360" w:lineRule="auto"/>
        <w:ind w:firstLine="435"/>
        <w:rPr>
          <w:color w:val="000000"/>
          <w:sz w:val="21"/>
          <w:lang w:eastAsia="zh-CN"/>
        </w:rPr>
      </w:pPr>
      <w:r>
        <w:rPr>
          <w:rFonts w:hint="eastAsia"/>
          <w:color w:val="000000"/>
          <w:sz w:val="21"/>
          <w:lang w:eastAsia="zh-CN"/>
        </w:rPr>
        <w:t>两种方法在测量时，单次采血量应小于总血量的10%，避免反复同一部位采血。使用便携式血糖测定仪时，采血部位避免挤压，防止出现溶血。注意采血时的无菌操作，避免创口感染。实验室分析时，异常值需进行复核，实验方案中设置对照和重复，减少实验或仪器误差。</w:t>
      </w:r>
      <w:r>
        <w:rPr>
          <w:rFonts w:hint="eastAsia"/>
          <w:sz w:val="21"/>
          <w:lang w:eastAsia="zh-CN"/>
        </w:rPr>
        <w:t>注意市售的便携式血糖仪的质量参差不齐，可能导致测定值与真实血糖浓度偏差甚远，或波动甚大。</w:t>
      </w:r>
    </w:p>
    <w:p w14:paraId="7692754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9.2</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操作流程</w:t>
      </w:r>
    </w:p>
    <w:p w14:paraId="0206A0FD">
      <w:pPr>
        <w:spacing w:line="360" w:lineRule="auto"/>
        <w:ind w:firstLine="435"/>
        <w:rPr>
          <w:color w:val="000000"/>
          <w:sz w:val="21"/>
          <w:lang w:eastAsia="zh-CN"/>
        </w:rPr>
      </w:pPr>
      <w:r>
        <w:rPr>
          <w:rFonts w:hint="eastAsia"/>
          <w:color w:val="000000"/>
          <w:sz w:val="21"/>
          <w:lang w:eastAsia="zh-CN"/>
        </w:rPr>
        <w:t>测量血糖前应对动物进行禁食不禁水不超过1</w:t>
      </w:r>
      <w:r>
        <w:rPr>
          <w:color w:val="000000"/>
          <w:sz w:val="21"/>
          <w:lang w:eastAsia="zh-CN"/>
        </w:rPr>
        <w:t>2</w:t>
      </w:r>
      <w:r>
        <w:rPr>
          <w:rFonts w:hint="eastAsia"/>
          <w:color w:val="000000"/>
          <w:sz w:val="21"/>
          <w:lang w:eastAsia="zh-CN"/>
        </w:rPr>
        <w:t>小时（有研究表明，小鼠禁食4</w:t>
      </w:r>
      <w:r>
        <w:rPr>
          <w:rFonts w:hint="eastAsia"/>
          <w:color w:val="000000"/>
          <w:sz w:val="21"/>
          <w:lang w:val="en-US" w:eastAsia="zh-CN"/>
        </w:rPr>
        <w:t>小时</w:t>
      </w:r>
      <w:r>
        <w:rPr>
          <w:rFonts w:hint="eastAsia"/>
          <w:color w:val="000000"/>
          <w:sz w:val="21"/>
          <w:lang w:eastAsia="zh-CN"/>
        </w:rPr>
        <w:t>～6小时后，胃肠道内容物已基本完全排空，实施禁食4小时、6小时、8小时、10小时等可能会较好的兼顾科学研究目的与实验动物福利评价考量。医学研究惯例常见人类和小鼠禁食12小时或过夜禁食，是因为既往已经积累了较多的12小时禁食获得的科学数据，考虑与既往科学数据可比性，可以采用12小时小鼠禁食，除非特殊科研观察目的，一般不宜禁食超过12小时。需要注意的是，常规的禁食并不同时禁水），根据不同物种采用不同的采血部位，大、小鼠应采集尾静脉（单次最大采血量50</w:t>
      </w:r>
      <w:r>
        <w:rPr>
          <w:rFonts w:hint="eastAsia"/>
          <w:color w:val="000000"/>
          <w:sz w:val="21"/>
          <w:lang w:val="en-US" w:eastAsia="zh-CN"/>
        </w:rPr>
        <w:t xml:space="preserve"> </w:t>
      </w:r>
      <w:r>
        <w:rPr>
          <w:color w:val="000000"/>
          <w:sz w:val="21"/>
          <w:lang w:eastAsia="zh-CN"/>
        </w:rPr>
        <w:t>μl</w:t>
      </w:r>
      <w:r>
        <w:rPr>
          <w:rFonts w:hint="eastAsia"/>
          <w:color w:val="000000"/>
          <w:sz w:val="21"/>
          <w:lang w:eastAsia="zh-CN"/>
        </w:rPr>
        <w:t>）或眼底静脉丛采血（单次最大采血量200</w:t>
      </w:r>
      <w:r>
        <w:rPr>
          <w:color w:val="000000"/>
          <w:sz w:val="21"/>
          <w:lang w:eastAsia="zh-CN"/>
        </w:rPr>
        <w:t>μl</w:t>
      </w:r>
      <w:r>
        <w:rPr>
          <w:rFonts w:hint="eastAsia"/>
          <w:color w:val="000000"/>
          <w:sz w:val="21"/>
          <w:lang w:eastAsia="zh-CN"/>
        </w:rPr>
        <w:t>），兔进行耳缘静脉采血（单次最大采血量1</w:t>
      </w:r>
      <w:r>
        <w:rPr>
          <w:rFonts w:hint="eastAsia"/>
          <w:color w:val="000000"/>
          <w:sz w:val="21"/>
          <w:lang w:val="en-US" w:eastAsia="zh-CN"/>
        </w:rPr>
        <w:t xml:space="preserve"> </w:t>
      </w:r>
      <w:r>
        <w:rPr>
          <w:rFonts w:hint="eastAsia"/>
          <w:color w:val="000000"/>
          <w:sz w:val="21"/>
          <w:lang w:eastAsia="zh-CN"/>
        </w:rPr>
        <w:t>ml），犬和猴进行前肢头静脉采血（单次最大采血量3ml）。</w:t>
      </w:r>
    </w:p>
    <w:p w14:paraId="3144A2C7">
      <w:pPr>
        <w:spacing w:line="360" w:lineRule="auto"/>
        <w:ind w:firstLine="435"/>
        <w:rPr>
          <w:sz w:val="21"/>
          <w:lang w:eastAsia="zh-CN"/>
        </w:rPr>
      </w:pPr>
      <w:r>
        <w:rPr>
          <w:rFonts w:hint="eastAsia"/>
          <w:color w:val="000000"/>
          <w:sz w:val="21"/>
          <w:lang w:eastAsia="zh-CN"/>
        </w:rPr>
        <w:t>使用便携式血糖仪进行测量时，使血样自然流出形成血滴，利用试纸条虹吸采血，读取测量值并记</w:t>
      </w:r>
      <w:r>
        <w:rPr>
          <w:rFonts w:hint="eastAsia"/>
          <w:sz w:val="21"/>
          <w:lang w:eastAsia="zh-CN"/>
        </w:rPr>
        <w:t>录。</w:t>
      </w:r>
    </w:p>
    <w:p w14:paraId="5115AE69">
      <w:pPr>
        <w:spacing w:line="360" w:lineRule="auto"/>
        <w:ind w:firstLine="420"/>
        <w:rPr>
          <w:color w:val="000000"/>
          <w:sz w:val="21"/>
          <w:lang w:eastAsia="zh-CN"/>
        </w:rPr>
      </w:pPr>
      <w:r>
        <w:rPr>
          <w:rFonts w:hint="eastAsia"/>
          <w:color w:val="000000"/>
          <w:sz w:val="21"/>
          <w:lang w:eastAsia="zh-CN"/>
        </w:rPr>
        <w:t>使用实验室生化分析进行血糖测量时，需采集更多的血样，进行离心3000</w:t>
      </w:r>
      <w:r>
        <w:rPr>
          <w:rFonts w:hint="eastAsia"/>
          <w:color w:val="000000"/>
          <w:sz w:val="21"/>
          <w:lang w:val="en-US" w:eastAsia="zh-CN"/>
        </w:rPr>
        <w:t xml:space="preserve"> </w:t>
      </w:r>
      <w:r>
        <w:rPr>
          <w:rFonts w:hint="eastAsia"/>
          <w:color w:val="000000"/>
          <w:sz w:val="21"/>
          <w:lang w:eastAsia="zh-CN"/>
        </w:rPr>
        <w:t>rpm，10分钟，取血浆，使用全自动生化分析仪进行测量，或使用葡萄糖氧化酶(GOD)法试剂盒按照使用说明进行测量。记录并分析数据</w:t>
      </w:r>
      <w:r>
        <w:rPr>
          <w:rFonts w:hint="eastAsia"/>
          <w:sz w:val="21"/>
          <w:lang w:eastAsia="zh-CN"/>
        </w:rPr>
        <w:t>，</w:t>
      </w:r>
      <w:r>
        <w:rPr>
          <w:rFonts w:hint="eastAsia"/>
          <w:kern w:val="2"/>
          <w:sz w:val="21"/>
          <w:lang w:eastAsia="zh-CN"/>
        </w:rPr>
        <w:t>记录和报告的格式参考</w:t>
      </w:r>
      <w:r>
        <w:rPr>
          <w:kern w:val="2"/>
          <w:sz w:val="21"/>
          <w:lang w:eastAsia="zh-CN"/>
        </w:rPr>
        <w:t>GB</w:t>
      </w:r>
      <w:r>
        <w:rPr>
          <w:rFonts w:hint="eastAsia"/>
          <w:kern w:val="2"/>
          <w:sz w:val="21"/>
          <w:lang w:eastAsia="zh-CN"/>
        </w:rPr>
        <w:t>/</w:t>
      </w:r>
      <w:r>
        <w:rPr>
          <w:kern w:val="2"/>
          <w:sz w:val="21"/>
          <w:lang w:eastAsia="zh-CN"/>
        </w:rPr>
        <w:t>T 39646-2020,</w:t>
      </w:r>
      <w:r>
        <w:rPr>
          <w:rFonts w:hint="eastAsia"/>
          <w:color w:val="000000"/>
          <w:sz w:val="21"/>
          <w:lang w:eastAsia="zh-CN"/>
        </w:rPr>
        <w:t xml:space="preserve"> 实验动物正常血糖的范围参照附录</w:t>
      </w:r>
      <w:r>
        <w:rPr>
          <w:color w:val="000000"/>
          <w:sz w:val="21"/>
          <w:lang w:eastAsia="zh-CN"/>
        </w:rPr>
        <w:t>A</w:t>
      </w:r>
      <w:r>
        <w:rPr>
          <w:rFonts w:hint="eastAsia"/>
          <w:color w:val="000000"/>
          <w:sz w:val="21"/>
          <w:lang w:eastAsia="zh-CN"/>
        </w:rPr>
        <w:t>。</w:t>
      </w:r>
    </w:p>
    <w:p w14:paraId="754190E5">
      <w:pPr>
        <w:spacing w:line="360" w:lineRule="auto"/>
        <w:ind w:firstLine="435"/>
        <w:rPr>
          <w:color w:val="000000"/>
          <w:sz w:val="21"/>
          <w:lang w:eastAsia="zh-CN"/>
        </w:rPr>
      </w:pPr>
    </w:p>
    <w:p w14:paraId="0296F6C1">
      <w:pPr>
        <w:spacing w:line="360" w:lineRule="auto"/>
        <w:rPr>
          <w:color w:val="000000"/>
          <w:sz w:val="21"/>
          <w:lang w:eastAsia="zh-CN"/>
        </w:rPr>
      </w:pPr>
    </w:p>
    <w:p w14:paraId="49CA405C">
      <w:pPr>
        <w:spacing w:line="360" w:lineRule="auto"/>
        <w:rPr>
          <w:color w:val="000000"/>
          <w:sz w:val="21"/>
          <w:lang w:eastAsia="zh-CN"/>
        </w:rPr>
      </w:pPr>
    </w:p>
    <w:p w14:paraId="358C08FF">
      <w:pPr>
        <w:spacing w:line="360" w:lineRule="auto"/>
        <w:rPr>
          <w:color w:val="000000"/>
          <w:sz w:val="21"/>
          <w:lang w:eastAsia="zh-CN"/>
        </w:rPr>
      </w:pPr>
    </w:p>
    <w:p w14:paraId="49C16525">
      <w:pPr>
        <w:spacing w:line="360" w:lineRule="auto"/>
        <w:jc w:val="center"/>
        <w:rPr>
          <w:rFonts w:ascii="黑体" w:hAnsi="黑体" w:eastAsia="黑体" w:cs="黑体"/>
          <w:color w:val="000000"/>
          <w:sz w:val="21"/>
          <w:szCs w:val="21"/>
          <w:lang w:eastAsia="zh-CN"/>
        </w:rPr>
      </w:pPr>
      <w:r>
        <w:rPr>
          <w:rFonts w:hint="eastAsia" w:ascii="宋体" w:hAnsi="宋体"/>
          <w:b/>
          <w:bCs/>
          <w:color w:val="000000"/>
          <w:sz w:val="21"/>
          <w:lang w:eastAsia="zh-CN"/>
        </w:rPr>
        <w:br w:type="page"/>
      </w:r>
      <w:r>
        <w:rPr>
          <w:rFonts w:hint="eastAsia" w:ascii="黑体" w:hAnsi="黑体" w:eastAsia="黑体" w:cs="黑体"/>
          <w:color w:val="000000"/>
          <w:sz w:val="21"/>
          <w:szCs w:val="21"/>
          <w:lang w:eastAsia="zh-CN"/>
        </w:rPr>
        <w:t>附录A</w:t>
      </w:r>
    </w:p>
    <w:p w14:paraId="1186B2E2">
      <w:pPr>
        <w:spacing w:line="360" w:lineRule="auto"/>
        <w:jc w:val="center"/>
        <w:rPr>
          <w:rFonts w:ascii="黑体" w:hAnsi="黑体" w:eastAsia="黑体" w:cs="黑体"/>
          <w:color w:val="000000"/>
          <w:sz w:val="21"/>
          <w:szCs w:val="21"/>
          <w:lang w:eastAsia="zh-CN"/>
        </w:rPr>
      </w:pPr>
      <w:r>
        <w:rPr>
          <w:rFonts w:hint="eastAsia" w:ascii="黑体" w:hAnsi="黑体" w:eastAsia="黑体" w:cs="黑体"/>
          <w:color w:val="000000"/>
          <w:sz w:val="21"/>
          <w:szCs w:val="21"/>
          <w:lang w:eastAsia="zh-CN"/>
        </w:rPr>
        <w:t>（资料性）</w:t>
      </w:r>
    </w:p>
    <w:p w14:paraId="55469DC9">
      <w:pPr>
        <w:spacing w:line="360" w:lineRule="auto"/>
        <w:jc w:val="center"/>
        <w:rPr>
          <w:rFonts w:ascii="黑体" w:hAnsi="黑体" w:eastAsia="黑体" w:cs="黑体"/>
          <w:color w:val="000000"/>
          <w:sz w:val="32"/>
          <w:szCs w:val="40"/>
          <w:lang w:eastAsia="zh-CN"/>
        </w:rPr>
      </w:pPr>
      <w:r>
        <w:rPr>
          <w:rFonts w:hint="eastAsia" w:ascii="黑体" w:hAnsi="黑体" w:eastAsia="黑体" w:cs="黑体"/>
          <w:color w:val="000000"/>
          <w:sz w:val="21"/>
          <w:szCs w:val="21"/>
          <w:lang w:eastAsia="zh-CN"/>
        </w:rPr>
        <w:t>常用实验动物生理指标</w:t>
      </w:r>
    </w:p>
    <w:tbl>
      <w:tblPr>
        <w:tblStyle w:val="21"/>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35"/>
        <w:gridCol w:w="1275"/>
        <w:gridCol w:w="1276"/>
        <w:gridCol w:w="1276"/>
        <w:gridCol w:w="1276"/>
        <w:gridCol w:w="1412"/>
        <w:gridCol w:w="1166"/>
      </w:tblGrid>
      <w:tr w14:paraId="3AF3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135" w:type="dxa"/>
            <w:shd w:val="clear" w:color="auto" w:fill="CCCCCC"/>
            <w:vAlign w:val="center"/>
          </w:tcPr>
          <w:p w14:paraId="3CBA5790">
            <w:pPr>
              <w:spacing w:line="260" w:lineRule="exact"/>
              <w:jc w:val="center"/>
              <w:rPr>
                <w:sz w:val="18"/>
                <w:szCs w:val="18"/>
              </w:rPr>
            </w:pPr>
            <w:r>
              <w:rPr>
                <w:rFonts w:hint="eastAsia"/>
                <w:sz w:val="18"/>
                <w:szCs w:val="18"/>
              </w:rPr>
              <w:t>动物种</w:t>
            </w:r>
          </w:p>
        </w:tc>
        <w:tc>
          <w:tcPr>
            <w:tcW w:w="1275" w:type="dxa"/>
            <w:shd w:val="clear" w:color="auto" w:fill="CCCCCC"/>
            <w:vAlign w:val="center"/>
          </w:tcPr>
          <w:p w14:paraId="26A14F75">
            <w:pPr>
              <w:widowControl w:val="0"/>
              <w:jc w:val="center"/>
              <w:rPr>
                <w:sz w:val="18"/>
                <w:szCs w:val="18"/>
                <w:lang w:eastAsia="zh-CN" w:bidi="ar-SA"/>
              </w:rPr>
            </w:pPr>
            <w:r>
              <w:rPr>
                <w:rFonts w:hint="eastAsia"/>
                <w:sz w:val="18"/>
                <w:szCs w:val="18"/>
                <w:lang w:eastAsia="zh-CN" w:bidi="ar-SA"/>
              </w:rPr>
              <w:t>平均体重</w:t>
            </w:r>
          </w:p>
          <w:p w14:paraId="51F93CD2">
            <w:pPr>
              <w:widowControl w:val="0"/>
              <w:jc w:val="center"/>
              <w:rPr>
                <w:sz w:val="18"/>
                <w:szCs w:val="18"/>
                <w:lang w:eastAsia="zh-CN" w:bidi="ar-SA"/>
              </w:rPr>
            </w:pPr>
            <w:r>
              <w:rPr>
                <w:rFonts w:hint="eastAsia"/>
                <w:sz w:val="18"/>
                <w:szCs w:val="18"/>
                <w:lang w:eastAsia="zh-CN" w:bidi="ar-SA"/>
              </w:rPr>
              <w:t>（g）</w:t>
            </w:r>
          </w:p>
        </w:tc>
        <w:tc>
          <w:tcPr>
            <w:tcW w:w="1276" w:type="dxa"/>
            <w:shd w:val="clear" w:color="auto" w:fill="CCCCCC"/>
            <w:vAlign w:val="center"/>
          </w:tcPr>
          <w:p w14:paraId="1843C546">
            <w:pPr>
              <w:spacing w:line="260" w:lineRule="exact"/>
              <w:jc w:val="center"/>
              <w:rPr>
                <w:sz w:val="18"/>
                <w:szCs w:val="18"/>
              </w:rPr>
            </w:pPr>
            <w:r>
              <w:rPr>
                <w:rFonts w:hint="eastAsia"/>
                <w:sz w:val="18"/>
                <w:szCs w:val="18"/>
              </w:rPr>
              <w:t>体温</w:t>
            </w:r>
          </w:p>
          <w:p w14:paraId="3C84E86E">
            <w:pPr>
              <w:spacing w:line="260" w:lineRule="exact"/>
              <w:jc w:val="center"/>
              <w:rPr>
                <w:sz w:val="18"/>
                <w:szCs w:val="18"/>
              </w:rPr>
            </w:pPr>
            <w:r>
              <w:rPr>
                <w:rFonts w:hint="eastAsia"/>
                <w:sz w:val="18"/>
                <w:szCs w:val="18"/>
              </w:rPr>
              <w:t>（℃）</w:t>
            </w:r>
          </w:p>
        </w:tc>
        <w:tc>
          <w:tcPr>
            <w:tcW w:w="1276" w:type="dxa"/>
            <w:shd w:val="clear" w:color="auto" w:fill="CCCCCC"/>
            <w:vAlign w:val="center"/>
          </w:tcPr>
          <w:p w14:paraId="38A3EFE7">
            <w:pPr>
              <w:spacing w:line="260" w:lineRule="exact"/>
              <w:jc w:val="center"/>
              <w:rPr>
                <w:sz w:val="18"/>
                <w:szCs w:val="18"/>
              </w:rPr>
            </w:pPr>
            <w:r>
              <w:rPr>
                <w:rFonts w:hint="eastAsia"/>
                <w:sz w:val="18"/>
                <w:szCs w:val="18"/>
              </w:rPr>
              <w:t>呼吸</w:t>
            </w:r>
            <w:r>
              <w:rPr>
                <w:rFonts w:hint="eastAsia"/>
                <w:sz w:val="18"/>
                <w:szCs w:val="18"/>
                <w:lang w:eastAsia="zh-CN"/>
              </w:rPr>
              <w:t>频率</w:t>
            </w:r>
          </w:p>
          <w:p w14:paraId="62343803">
            <w:pPr>
              <w:spacing w:line="260" w:lineRule="exact"/>
              <w:jc w:val="center"/>
              <w:rPr>
                <w:sz w:val="18"/>
                <w:szCs w:val="18"/>
              </w:rPr>
            </w:pPr>
            <w:r>
              <w:rPr>
                <w:rFonts w:hint="eastAsia"/>
                <w:sz w:val="18"/>
                <w:szCs w:val="18"/>
              </w:rPr>
              <w:t>（1</w:t>
            </w:r>
            <w:r>
              <w:rPr>
                <w:sz w:val="18"/>
                <w:szCs w:val="18"/>
              </w:rPr>
              <w:t>min</w:t>
            </w:r>
            <w:r>
              <w:rPr>
                <w:rFonts w:hint="eastAsia"/>
                <w:sz w:val="18"/>
                <w:szCs w:val="18"/>
              </w:rPr>
              <w:t>）</w:t>
            </w:r>
          </w:p>
        </w:tc>
        <w:tc>
          <w:tcPr>
            <w:tcW w:w="1276" w:type="dxa"/>
            <w:shd w:val="clear" w:color="auto" w:fill="CCCCCC"/>
            <w:vAlign w:val="center"/>
          </w:tcPr>
          <w:p w14:paraId="77CFEDBD">
            <w:pPr>
              <w:spacing w:line="260" w:lineRule="exact"/>
              <w:jc w:val="center"/>
              <w:rPr>
                <w:sz w:val="18"/>
                <w:szCs w:val="18"/>
              </w:rPr>
            </w:pPr>
            <w:r>
              <w:rPr>
                <w:rFonts w:hint="eastAsia"/>
                <w:sz w:val="18"/>
                <w:szCs w:val="18"/>
                <w:lang w:eastAsia="zh-CN"/>
              </w:rPr>
              <w:t>心率</w:t>
            </w:r>
          </w:p>
          <w:p w14:paraId="55AA43F8">
            <w:pPr>
              <w:spacing w:line="260" w:lineRule="exact"/>
              <w:jc w:val="center"/>
              <w:rPr>
                <w:sz w:val="18"/>
                <w:szCs w:val="18"/>
              </w:rPr>
            </w:pPr>
            <w:r>
              <w:rPr>
                <w:rFonts w:hint="eastAsia"/>
                <w:sz w:val="18"/>
                <w:szCs w:val="18"/>
              </w:rPr>
              <w:t>（1</w:t>
            </w:r>
            <w:r>
              <w:rPr>
                <w:sz w:val="18"/>
                <w:szCs w:val="18"/>
              </w:rPr>
              <w:t>min</w:t>
            </w:r>
            <w:r>
              <w:rPr>
                <w:rFonts w:hint="eastAsia"/>
                <w:sz w:val="18"/>
                <w:szCs w:val="18"/>
              </w:rPr>
              <w:t>）</w:t>
            </w:r>
          </w:p>
        </w:tc>
        <w:tc>
          <w:tcPr>
            <w:tcW w:w="1412" w:type="dxa"/>
            <w:shd w:val="clear" w:color="auto" w:fill="CCCCCC"/>
            <w:vAlign w:val="center"/>
          </w:tcPr>
          <w:p w14:paraId="43D57380">
            <w:pPr>
              <w:spacing w:line="260" w:lineRule="exact"/>
              <w:jc w:val="center"/>
              <w:rPr>
                <w:sz w:val="18"/>
                <w:szCs w:val="18"/>
                <w:lang w:eastAsia="zh-CN"/>
              </w:rPr>
            </w:pPr>
            <w:r>
              <w:rPr>
                <w:rFonts w:hint="eastAsia"/>
                <w:sz w:val="18"/>
                <w:szCs w:val="18"/>
                <w:lang w:eastAsia="zh-CN"/>
              </w:rPr>
              <w:t>血压</w:t>
            </w:r>
          </w:p>
          <w:p w14:paraId="59B1E908">
            <w:pPr>
              <w:spacing w:line="260" w:lineRule="exact"/>
              <w:jc w:val="center"/>
              <w:rPr>
                <w:sz w:val="18"/>
                <w:szCs w:val="18"/>
                <w:lang w:eastAsia="zh-CN"/>
              </w:rPr>
            </w:pPr>
            <w:r>
              <w:rPr>
                <w:sz w:val="18"/>
                <w:szCs w:val="18"/>
                <w:lang w:eastAsia="zh-CN"/>
              </w:rPr>
              <w:t>(mmHg</w:t>
            </w:r>
            <w:r>
              <w:rPr>
                <w:rFonts w:hint="eastAsia"/>
                <w:sz w:val="18"/>
                <w:szCs w:val="18"/>
                <w:lang w:eastAsia="zh-CN"/>
              </w:rPr>
              <w:t>，上段：舒张期，下段：收缩期</w:t>
            </w:r>
            <w:r>
              <w:rPr>
                <w:sz w:val="18"/>
                <w:szCs w:val="18"/>
                <w:lang w:eastAsia="zh-CN"/>
              </w:rPr>
              <w:t>)</w:t>
            </w:r>
          </w:p>
        </w:tc>
        <w:tc>
          <w:tcPr>
            <w:tcW w:w="1166" w:type="dxa"/>
            <w:shd w:val="clear" w:color="auto" w:fill="CCCCCC"/>
            <w:vAlign w:val="center"/>
          </w:tcPr>
          <w:p w14:paraId="1E83414A">
            <w:pPr>
              <w:spacing w:line="260" w:lineRule="exact"/>
              <w:jc w:val="center"/>
              <w:rPr>
                <w:sz w:val="18"/>
                <w:szCs w:val="18"/>
                <w:lang w:eastAsia="zh-CN"/>
              </w:rPr>
            </w:pPr>
            <w:r>
              <w:rPr>
                <w:rFonts w:hint="eastAsia"/>
                <w:sz w:val="18"/>
                <w:szCs w:val="18"/>
                <w:lang w:eastAsia="zh-CN"/>
              </w:rPr>
              <w:t>血糖</w:t>
            </w:r>
          </w:p>
          <w:p w14:paraId="21186126">
            <w:pPr>
              <w:spacing w:line="260" w:lineRule="exact"/>
              <w:jc w:val="center"/>
              <w:rPr>
                <w:sz w:val="18"/>
                <w:szCs w:val="18"/>
              </w:rPr>
            </w:pPr>
            <w:r>
              <w:rPr>
                <w:rFonts w:hint="eastAsia"/>
                <w:sz w:val="18"/>
                <w:szCs w:val="18"/>
                <w:lang w:eastAsia="zh-CN"/>
              </w:rPr>
              <w:t>（</w:t>
            </w:r>
            <w:bookmarkStart w:id="11" w:name="OLE_LINK12"/>
            <w:bookmarkStart w:id="12" w:name="OLE_LINK13"/>
            <w:r>
              <w:rPr>
                <w:rFonts w:hint="eastAsia"/>
                <w:sz w:val="18"/>
                <w:szCs w:val="18"/>
                <w:lang w:eastAsia="zh-CN"/>
              </w:rPr>
              <w:t>mg</w:t>
            </w:r>
            <w:r>
              <w:rPr>
                <w:sz w:val="18"/>
                <w:szCs w:val="18"/>
                <w:lang w:eastAsia="zh-CN"/>
              </w:rPr>
              <w:t>/</w:t>
            </w:r>
            <w:r>
              <w:rPr>
                <w:rFonts w:hint="eastAsia"/>
                <w:sz w:val="18"/>
                <w:szCs w:val="18"/>
                <w:lang w:eastAsia="zh-CN"/>
              </w:rPr>
              <w:t>dl</w:t>
            </w:r>
            <w:bookmarkEnd w:id="11"/>
            <w:bookmarkEnd w:id="12"/>
            <w:r>
              <w:rPr>
                <w:rFonts w:hint="eastAsia"/>
                <w:sz w:val="18"/>
                <w:szCs w:val="18"/>
                <w:lang w:eastAsia="zh-CN"/>
              </w:rPr>
              <w:t>）</w:t>
            </w:r>
          </w:p>
        </w:tc>
      </w:tr>
      <w:tr w14:paraId="5960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7F04CBFF">
            <w:pPr>
              <w:spacing w:line="360" w:lineRule="auto"/>
              <w:jc w:val="center"/>
              <w:rPr>
                <w:sz w:val="18"/>
                <w:szCs w:val="18"/>
              </w:rPr>
            </w:pPr>
            <w:r>
              <w:rPr>
                <w:rFonts w:hint="eastAsia"/>
                <w:sz w:val="18"/>
                <w:szCs w:val="18"/>
              </w:rPr>
              <w:t>小鼠</w:t>
            </w:r>
          </w:p>
        </w:tc>
        <w:tc>
          <w:tcPr>
            <w:tcW w:w="1275" w:type="dxa"/>
            <w:vAlign w:val="center"/>
          </w:tcPr>
          <w:p w14:paraId="2AD89BB9">
            <w:pPr>
              <w:widowControl w:val="0"/>
              <w:jc w:val="center"/>
              <w:rPr>
                <w:sz w:val="18"/>
                <w:szCs w:val="18"/>
                <w:lang w:eastAsia="zh-CN" w:bidi="ar-SA"/>
              </w:rPr>
            </w:pPr>
            <w:r>
              <w:rPr>
                <w:rFonts w:hint="eastAsia"/>
                <w:sz w:val="18"/>
                <w:szCs w:val="18"/>
                <w:lang w:eastAsia="zh-CN" w:bidi="ar-SA"/>
              </w:rPr>
              <w:t>2</w:t>
            </w:r>
            <w:r>
              <w:rPr>
                <w:sz w:val="18"/>
                <w:szCs w:val="18"/>
                <w:lang w:eastAsia="zh-CN" w:bidi="ar-SA"/>
              </w:rPr>
              <w:t>9</w:t>
            </w:r>
          </w:p>
        </w:tc>
        <w:tc>
          <w:tcPr>
            <w:tcW w:w="1276" w:type="dxa"/>
            <w:vAlign w:val="center"/>
          </w:tcPr>
          <w:p w14:paraId="7973654B">
            <w:pPr>
              <w:spacing w:line="260" w:lineRule="exact"/>
              <w:jc w:val="center"/>
              <w:rPr>
                <w:sz w:val="18"/>
                <w:szCs w:val="18"/>
              </w:rPr>
            </w:pPr>
            <w:r>
              <w:rPr>
                <w:rFonts w:hint="eastAsia"/>
                <w:sz w:val="18"/>
                <w:szCs w:val="18"/>
              </w:rPr>
              <w:t>3</w:t>
            </w:r>
            <w:r>
              <w:rPr>
                <w:sz w:val="18"/>
                <w:szCs w:val="18"/>
              </w:rPr>
              <w:t>7.4</w:t>
            </w:r>
          </w:p>
          <w:p w14:paraId="1CE8BD8C">
            <w:pPr>
              <w:spacing w:line="260" w:lineRule="exact"/>
              <w:jc w:val="center"/>
              <w:rPr>
                <w:sz w:val="18"/>
                <w:szCs w:val="18"/>
              </w:rPr>
            </w:pPr>
            <w:r>
              <w:rPr>
                <w:rFonts w:hint="eastAsia"/>
                <w:sz w:val="18"/>
                <w:szCs w:val="18"/>
              </w:rPr>
              <w:t>3</w:t>
            </w:r>
            <w:r>
              <w:rPr>
                <w:sz w:val="18"/>
                <w:szCs w:val="18"/>
              </w:rPr>
              <w:t>3.6</w:t>
            </w:r>
            <w:bookmarkStart w:id="13" w:name="OLE_LINK23"/>
            <w:bookmarkStart w:id="14" w:name="OLE_LINK24"/>
            <w:r>
              <w:rPr>
                <w:rFonts w:hint="eastAsia"/>
                <w:sz w:val="18"/>
                <w:szCs w:val="18"/>
              </w:rPr>
              <w:t>~</w:t>
            </w:r>
            <w:bookmarkEnd w:id="13"/>
            <w:bookmarkEnd w:id="14"/>
            <w:r>
              <w:rPr>
                <w:sz w:val="18"/>
                <w:szCs w:val="18"/>
              </w:rPr>
              <w:t>41.2</w:t>
            </w:r>
          </w:p>
        </w:tc>
        <w:tc>
          <w:tcPr>
            <w:tcW w:w="1276" w:type="dxa"/>
            <w:vAlign w:val="center"/>
          </w:tcPr>
          <w:p w14:paraId="36C920E0">
            <w:pPr>
              <w:spacing w:line="260" w:lineRule="exact"/>
              <w:jc w:val="center"/>
              <w:rPr>
                <w:sz w:val="18"/>
                <w:szCs w:val="18"/>
              </w:rPr>
            </w:pPr>
            <w:r>
              <w:rPr>
                <w:sz w:val="18"/>
                <w:szCs w:val="18"/>
              </w:rPr>
              <w:t>163</w:t>
            </w:r>
          </w:p>
          <w:p w14:paraId="3E9206AF">
            <w:pPr>
              <w:spacing w:line="260" w:lineRule="exact"/>
              <w:jc w:val="center"/>
              <w:rPr>
                <w:sz w:val="18"/>
                <w:szCs w:val="18"/>
              </w:rPr>
            </w:pPr>
            <w:r>
              <w:rPr>
                <w:sz w:val="18"/>
                <w:szCs w:val="18"/>
              </w:rPr>
              <w:t>84</w:t>
            </w:r>
            <w:r>
              <w:rPr>
                <w:rFonts w:hint="eastAsia"/>
                <w:sz w:val="18"/>
                <w:szCs w:val="18"/>
              </w:rPr>
              <w:t>~</w:t>
            </w:r>
            <w:r>
              <w:rPr>
                <w:sz w:val="18"/>
                <w:szCs w:val="18"/>
              </w:rPr>
              <w:t>230</w:t>
            </w:r>
          </w:p>
        </w:tc>
        <w:tc>
          <w:tcPr>
            <w:tcW w:w="1276" w:type="dxa"/>
            <w:vAlign w:val="center"/>
          </w:tcPr>
          <w:p w14:paraId="6A0D901C">
            <w:pPr>
              <w:spacing w:line="260" w:lineRule="exact"/>
              <w:jc w:val="center"/>
              <w:rPr>
                <w:sz w:val="18"/>
                <w:szCs w:val="18"/>
              </w:rPr>
            </w:pPr>
            <w:r>
              <w:rPr>
                <w:sz w:val="18"/>
                <w:szCs w:val="18"/>
              </w:rPr>
              <w:t>324</w:t>
            </w:r>
            <w:bookmarkStart w:id="15" w:name="OLE_LINK33"/>
            <w:bookmarkStart w:id="16" w:name="OLE_LINK32"/>
            <w:r>
              <w:rPr>
                <w:rFonts w:hint="eastAsia"/>
                <w:sz w:val="18"/>
                <w:szCs w:val="18"/>
              </w:rPr>
              <w:t>~</w:t>
            </w:r>
            <w:bookmarkEnd w:id="15"/>
            <w:bookmarkEnd w:id="16"/>
            <w:r>
              <w:rPr>
                <w:sz w:val="18"/>
                <w:szCs w:val="18"/>
              </w:rPr>
              <w:t>800</w:t>
            </w:r>
          </w:p>
        </w:tc>
        <w:tc>
          <w:tcPr>
            <w:tcW w:w="1412" w:type="dxa"/>
            <w:vAlign w:val="center"/>
          </w:tcPr>
          <w:p w14:paraId="143EF20D">
            <w:pPr>
              <w:spacing w:line="360" w:lineRule="auto"/>
              <w:ind w:firstLine="360" w:firstLineChars="200"/>
              <w:jc w:val="center"/>
              <w:rPr>
                <w:color w:val="000000"/>
                <w:sz w:val="18"/>
                <w:szCs w:val="18"/>
                <w:lang w:eastAsia="zh-CN"/>
              </w:rPr>
            </w:pPr>
            <m:oMathPara>
              <m:oMath>
                <m:f>
                  <m:fPr>
                    <m:ctrlPr>
                      <w:rPr>
                        <w:rFonts w:ascii="Cambria Math" w:hAnsi="Cambria Math"/>
                        <w:color w:val="000000"/>
                        <w:sz w:val="18"/>
                        <w:szCs w:val="18"/>
                        <w:lang w:eastAsia="zh-CN"/>
                      </w:rPr>
                    </m:ctrlPr>
                  </m:fPr>
                  <m:num>
                    <m:r>
                      <m:rPr>
                        <m:nor/>
                        <m:sty m:val="p"/>
                      </m:rPr>
                      <w:rPr>
                        <w:sz w:val="18"/>
                        <w:szCs w:val="18"/>
                      </w:rPr>
                      <m:t>106</m:t>
                    </m:r>
                    <m:r>
                      <m:rPr>
                        <m:nor/>
                        <m:sty m:val="p"/>
                      </m:rPr>
                      <w:rPr>
                        <w:rFonts w:ascii="Cambria Math"/>
                        <w:sz w:val="18"/>
                        <w:szCs w:val="18"/>
                      </w:rPr>
                      <m:t xml:space="preserve"> </m:t>
                    </m:r>
                    <m:d>
                      <m:dPr>
                        <m:begChr m:val="（"/>
                        <m:endChr m:val="）"/>
                        <m:ctrlPr>
                          <w:rPr>
                            <w:rFonts w:ascii="Cambria Math" w:hAnsi="Cambria Math"/>
                            <w:sz w:val="18"/>
                            <w:szCs w:val="18"/>
                            <w:lang w:eastAsia="zh-CN"/>
                          </w:rPr>
                        </m:ctrlPr>
                      </m:dPr>
                      <m:e>
                        <m:r>
                          <m:rPr>
                            <m:nor/>
                            <m:sty m:val="p"/>
                          </m:rPr>
                          <w:rPr>
                            <w:sz w:val="18"/>
                            <w:szCs w:val="18"/>
                          </w:rPr>
                          <m:t>102~110</m:t>
                        </m:r>
                        <m:ctrlPr>
                          <w:rPr>
                            <w:rFonts w:ascii="Cambria Math" w:hAnsi="Cambria Math"/>
                            <w:sz w:val="18"/>
                            <w:szCs w:val="18"/>
                            <w:lang w:eastAsia="zh-CN"/>
                          </w:rPr>
                        </m:ctrlPr>
                      </m:e>
                    </m:d>
                    <m:ctrlPr>
                      <w:rPr>
                        <w:rFonts w:ascii="Cambria Math" w:hAnsi="Cambria Math"/>
                        <w:sz w:val="18"/>
                        <w:szCs w:val="18"/>
                        <w:lang w:eastAsia="zh-CN"/>
                      </w:rPr>
                    </m:ctrlPr>
                  </m:num>
                  <m:den>
                    <m:r>
                      <m:rPr>
                        <m:nor/>
                        <m:sty m:val="p"/>
                      </m:rPr>
                      <w:rPr>
                        <w:sz w:val="18"/>
                        <w:szCs w:val="18"/>
                        <w:lang w:eastAsia="zh-CN"/>
                      </w:rPr>
                      <m:t>147</m:t>
                    </m:r>
                    <m:r>
                      <m:rPr>
                        <m:nor/>
                        <m:sty m:val="p"/>
                      </m:rPr>
                      <w:rPr>
                        <w:rFonts w:ascii="Cambria Math"/>
                        <w:sz w:val="18"/>
                        <w:szCs w:val="18"/>
                        <w:lang w:eastAsia="zh-CN"/>
                      </w:rPr>
                      <m:t xml:space="preserve"> </m:t>
                    </m:r>
                    <m:d>
                      <m:dPr>
                        <m:begChr m:val="（"/>
                        <m:endChr m:val="）"/>
                        <m:ctrlPr>
                          <w:rPr>
                            <w:rFonts w:ascii="Cambria Math" w:hAnsi="Cambria Math"/>
                            <w:sz w:val="18"/>
                            <w:szCs w:val="18"/>
                            <w:lang w:eastAsia="zh-CN"/>
                          </w:rPr>
                        </m:ctrlPr>
                      </m:dPr>
                      <m:e>
                        <m:r>
                          <m:rPr>
                            <m:nor/>
                            <m:sty m:val="p"/>
                          </m:rPr>
                          <w:rPr>
                            <w:sz w:val="18"/>
                            <w:szCs w:val="18"/>
                            <w:lang w:eastAsia="zh-CN"/>
                          </w:rPr>
                          <m:t>133</m:t>
                        </m:r>
                        <m:r>
                          <m:rPr>
                            <m:nor/>
                            <m:sty m:val="p"/>
                          </m:rPr>
                          <w:rPr>
                            <w:sz w:val="18"/>
                            <w:szCs w:val="18"/>
                          </w:rPr>
                          <m:t>~160</m:t>
                        </m:r>
                        <m:ctrlPr>
                          <w:rPr>
                            <w:rFonts w:ascii="Cambria Math" w:hAnsi="Cambria Math"/>
                            <w:sz w:val="18"/>
                            <w:szCs w:val="18"/>
                            <w:lang w:eastAsia="zh-CN"/>
                          </w:rPr>
                        </m:ctrlPr>
                      </m:e>
                    </m:d>
                    <m:ctrlPr>
                      <w:rPr>
                        <w:rFonts w:ascii="Cambria Math" w:hAnsi="Cambria Math"/>
                        <w:color w:val="000000"/>
                        <w:sz w:val="18"/>
                        <w:szCs w:val="18"/>
                        <w:lang w:eastAsia="zh-CN"/>
                      </w:rPr>
                    </m:ctrlPr>
                  </m:den>
                </m:f>
              </m:oMath>
            </m:oMathPara>
          </w:p>
        </w:tc>
        <w:tc>
          <w:tcPr>
            <w:tcW w:w="1166" w:type="dxa"/>
            <w:vAlign w:val="center"/>
          </w:tcPr>
          <w:p w14:paraId="63834A35">
            <w:pPr>
              <w:spacing w:line="260" w:lineRule="exact"/>
              <w:jc w:val="center"/>
              <w:rPr>
                <w:sz w:val="18"/>
                <w:szCs w:val="18"/>
              </w:rPr>
            </w:pPr>
            <w:r>
              <w:rPr>
                <w:rFonts w:hint="eastAsia"/>
                <w:sz w:val="18"/>
                <w:szCs w:val="18"/>
                <w:lang w:eastAsia="zh-CN" w:bidi="ar-SA"/>
              </w:rPr>
              <w:t>♂</w:t>
            </w:r>
            <w:bookmarkStart w:id="17" w:name="OLE_LINK14"/>
            <w:r>
              <w:rPr>
                <w:sz w:val="18"/>
                <w:szCs w:val="18"/>
              </w:rPr>
              <w:t>61</w:t>
            </w:r>
            <w:r>
              <w:rPr>
                <w:rFonts w:hint="eastAsia"/>
                <w:sz w:val="18"/>
                <w:szCs w:val="18"/>
                <w:lang w:eastAsia="zh-CN"/>
              </w:rPr>
              <w:t>±</w:t>
            </w:r>
            <w:r>
              <w:rPr>
                <w:sz w:val="18"/>
                <w:szCs w:val="18"/>
              </w:rPr>
              <w:t>27</w:t>
            </w:r>
            <w:bookmarkEnd w:id="17"/>
          </w:p>
          <w:p w14:paraId="723DE54B">
            <w:pPr>
              <w:spacing w:line="260" w:lineRule="exact"/>
              <w:jc w:val="center"/>
              <w:rPr>
                <w:sz w:val="18"/>
                <w:szCs w:val="18"/>
              </w:rPr>
            </w:pPr>
            <w:r>
              <w:rPr>
                <w:rFonts w:hint="eastAsia"/>
                <w:sz w:val="18"/>
                <w:szCs w:val="18"/>
                <w:lang w:eastAsia="zh-CN" w:bidi="ar-SA"/>
              </w:rPr>
              <w:t>♀</w:t>
            </w:r>
            <w:r>
              <w:rPr>
                <w:sz w:val="18"/>
                <w:szCs w:val="18"/>
              </w:rPr>
              <w:t>66</w:t>
            </w:r>
            <w:r>
              <w:rPr>
                <w:rFonts w:hint="eastAsia"/>
                <w:sz w:val="18"/>
                <w:szCs w:val="18"/>
                <w:lang w:eastAsia="zh-CN"/>
              </w:rPr>
              <w:t>±</w:t>
            </w:r>
            <w:r>
              <w:rPr>
                <w:sz w:val="18"/>
                <w:szCs w:val="18"/>
              </w:rPr>
              <w:t>38</w:t>
            </w:r>
          </w:p>
        </w:tc>
      </w:tr>
      <w:tr w14:paraId="1F20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4776FC74">
            <w:pPr>
              <w:spacing w:line="360" w:lineRule="auto"/>
              <w:jc w:val="center"/>
              <w:rPr>
                <w:sz w:val="18"/>
                <w:szCs w:val="18"/>
              </w:rPr>
            </w:pPr>
            <w:r>
              <w:rPr>
                <w:rFonts w:hint="eastAsia"/>
                <w:sz w:val="18"/>
                <w:szCs w:val="18"/>
              </w:rPr>
              <w:t>大鼠</w:t>
            </w:r>
          </w:p>
        </w:tc>
        <w:tc>
          <w:tcPr>
            <w:tcW w:w="1275" w:type="dxa"/>
            <w:vAlign w:val="center"/>
          </w:tcPr>
          <w:p w14:paraId="09F2454A">
            <w:pPr>
              <w:widowControl w:val="0"/>
              <w:jc w:val="center"/>
              <w:rPr>
                <w:sz w:val="18"/>
                <w:szCs w:val="18"/>
                <w:lang w:eastAsia="zh-CN" w:bidi="ar-SA"/>
              </w:rPr>
            </w:pPr>
            <w:r>
              <w:rPr>
                <w:rFonts w:hint="eastAsia"/>
                <w:sz w:val="18"/>
                <w:szCs w:val="18"/>
                <w:lang w:eastAsia="zh-CN" w:bidi="ar-SA"/>
              </w:rPr>
              <w:t>210～300</w:t>
            </w:r>
          </w:p>
        </w:tc>
        <w:tc>
          <w:tcPr>
            <w:tcW w:w="1276" w:type="dxa"/>
            <w:vAlign w:val="center"/>
          </w:tcPr>
          <w:p w14:paraId="2BC54381">
            <w:pPr>
              <w:spacing w:line="260" w:lineRule="exact"/>
              <w:jc w:val="center"/>
              <w:rPr>
                <w:sz w:val="18"/>
                <w:szCs w:val="18"/>
              </w:rPr>
            </w:pPr>
            <w:r>
              <w:rPr>
                <w:rFonts w:hint="eastAsia"/>
                <w:sz w:val="18"/>
                <w:szCs w:val="18"/>
              </w:rPr>
              <w:t>3</w:t>
            </w:r>
            <w:r>
              <w:rPr>
                <w:sz w:val="18"/>
                <w:szCs w:val="18"/>
              </w:rPr>
              <w:t>5.1</w:t>
            </w:r>
          </w:p>
          <w:p w14:paraId="39403A1E">
            <w:pPr>
              <w:spacing w:line="260" w:lineRule="exact"/>
              <w:jc w:val="center"/>
              <w:rPr>
                <w:sz w:val="18"/>
                <w:szCs w:val="18"/>
              </w:rPr>
            </w:pPr>
            <w:r>
              <w:rPr>
                <w:rFonts w:hint="eastAsia"/>
                <w:sz w:val="18"/>
                <w:szCs w:val="18"/>
              </w:rPr>
              <w:t>3</w:t>
            </w:r>
            <w:r>
              <w:rPr>
                <w:sz w:val="18"/>
                <w:szCs w:val="18"/>
              </w:rPr>
              <w:t>2.1</w:t>
            </w:r>
            <w:r>
              <w:rPr>
                <w:rFonts w:hint="eastAsia"/>
                <w:sz w:val="18"/>
                <w:szCs w:val="18"/>
              </w:rPr>
              <w:t>~38.</w:t>
            </w:r>
            <w:r>
              <w:rPr>
                <w:sz w:val="18"/>
                <w:szCs w:val="18"/>
              </w:rPr>
              <w:t>1</w:t>
            </w:r>
          </w:p>
        </w:tc>
        <w:tc>
          <w:tcPr>
            <w:tcW w:w="1276" w:type="dxa"/>
            <w:vAlign w:val="center"/>
          </w:tcPr>
          <w:p w14:paraId="607EF1E0">
            <w:pPr>
              <w:spacing w:line="260" w:lineRule="exact"/>
              <w:jc w:val="center"/>
              <w:rPr>
                <w:sz w:val="18"/>
                <w:szCs w:val="18"/>
              </w:rPr>
            </w:pPr>
            <w:r>
              <w:rPr>
                <w:rFonts w:hint="eastAsia"/>
                <w:sz w:val="18"/>
                <w:szCs w:val="18"/>
              </w:rPr>
              <w:t>8</w:t>
            </w:r>
            <w:r>
              <w:rPr>
                <w:sz w:val="18"/>
                <w:szCs w:val="18"/>
              </w:rPr>
              <w:t>5</w:t>
            </w:r>
          </w:p>
          <w:p w14:paraId="28B7354A">
            <w:pPr>
              <w:spacing w:line="260" w:lineRule="exact"/>
              <w:jc w:val="center"/>
              <w:rPr>
                <w:sz w:val="18"/>
                <w:szCs w:val="18"/>
              </w:rPr>
            </w:pPr>
            <w:r>
              <w:rPr>
                <w:sz w:val="18"/>
                <w:szCs w:val="18"/>
              </w:rPr>
              <w:t>85</w:t>
            </w:r>
            <w:r>
              <w:rPr>
                <w:rFonts w:hint="eastAsia"/>
                <w:sz w:val="18"/>
                <w:szCs w:val="18"/>
              </w:rPr>
              <w:t>~</w:t>
            </w:r>
            <w:r>
              <w:rPr>
                <w:sz w:val="18"/>
                <w:szCs w:val="18"/>
              </w:rPr>
              <w:t>110</w:t>
            </w:r>
          </w:p>
        </w:tc>
        <w:tc>
          <w:tcPr>
            <w:tcW w:w="1276" w:type="dxa"/>
            <w:vAlign w:val="center"/>
          </w:tcPr>
          <w:p w14:paraId="4CE211FB">
            <w:pPr>
              <w:spacing w:line="260" w:lineRule="exact"/>
              <w:jc w:val="center"/>
              <w:rPr>
                <w:sz w:val="18"/>
                <w:szCs w:val="18"/>
              </w:rPr>
            </w:pPr>
            <w:r>
              <w:rPr>
                <w:sz w:val="18"/>
                <w:szCs w:val="18"/>
              </w:rPr>
              <w:t>261</w:t>
            </w:r>
            <w:r>
              <w:rPr>
                <w:rFonts w:hint="eastAsia"/>
                <w:sz w:val="18"/>
                <w:szCs w:val="18"/>
              </w:rPr>
              <w:t>~</w:t>
            </w:r>
            <w:r>
              <w:rPr>
                <w:sz w:val="18"/>
                <w:szCs w:val="18"/>
              </w:rPr>
              <w:t>600</w:t>
            </w:r>
          </w:p>
        </w:tc>
        <w:tc>
          <w:tcPr>
            <w:tcW w:w="1412" w:type="dxa"/>
            <w:vAlign w:val="center"/>
          </w:tcPr>
          <w:p w14:paraId="77A43F70">
            <w:pPr>
              <w:spacing w:line="360" w:lineRule="auto"/>
              <w:ind w:firstLine="360" w:firstLineChars="200"/>
              <w:jc w:val="center"/>
              <w:rPr>
                <w:color w:val="000000"/>
                <w:sz w:val="18"/>
                <w:szCs w:val="18"/>
                <w:lang w:eastAsia="zh-CN"/>
              </w:rPr>
            </w:pPr>
            <m:oMathPara>
              <m:oMath>
                <m:f>
                  <m:fPr>
                    <m:ctrlPr>
                      <w:rPr>
                        <w:rFonts w:ascii="Cambria Math" w:hAnsi="Cambria Math"/>
                        <w:color w:val="000000"/>
                        <w:sz w:val="18"/>
                        <w:szCs w:val="18"/>
                      </w:rPr>
                    </m:ctrlPr>
                  </m:fPr>
                  <m:num>
                    <m:r>
                      <m:rPr>
                        <m:nor/>
                        <m:sty m:val="p"/>
                      </m:rPr>
                      <w:rPr>
                        <w:sz w:val="18"/>
                        <w:szCs w:val="18"/>
                      </w:rPr>
                      <m:t>90</m:t>
                    </m:r>
                    <m:r>
                      <m:rPr>
                        <m:nor/>
                        <m:sty m:val="p"/>
                      </m:rPr>
                      <w:rPr>
                        <w:sz w:val="18"/>
                        <w:szCs w:val="18"/>
                        <w:lang w:eastAsia="zh-CN"/>
                      </w:rPr>
                      <m:t>（</m:t>
                    </m:r>
                    <m:r>
                      <m:rPr>
                        <m:nor/>
                        <m:sty m:val="p"/>
                      </m:rPr>
                      <w:rPr>
                        <w:sz w:val="18"/>
                        <w:szCs w:val="18"/>
                      </w:rPr>
                      <m:t>60~100</m:t>
                    </m:r>
                    <m:r>
                      <m:rPr>
                        <m:nor/>
                        <m:sty m:val="p"/>
                      </m:rPr>
                      <w:rPr>
                        <w:sz w:val="18"/>
                        <w:szCs w:val="18"/>
                        <w:lang w:eastAsia="zh-CN"/>
                      </w:rPr>
                      <m:t>）</m:t>
                    </m:r>
                    <m:ctrlPr>
                      <w:rPr>
                        <w:rFonts w:ascii="Cambria Math" w:hAnsi="Cambria Math"/>
                        <w:color w:val="000000"/>
                        <w:sz w:val="18"/>
                        <w:szCs w:val="18"/>
                      </w:rPr>
                    </m:ctrlPr>
                  </m:num>
                  <m:den>
                    <m:r>
                      <m:rPr>
                        <m:nor/>
                        <m:sty m:val="p"/>
                      </m:rPr>
                      <w:rPr>
                        <w:sz w:val="18"/>
                        <w:szCs w:val="18"/>
                        <w:lang w:eastAsia="zh-CN"/>
                      </w:rPr>
                      <m:t>116（80</m:t>
                    </m:r>
                    <m:r>
                      <m:rPr>
                        <m:nor/>
                        <m:sty m:val="p"/>
                      </m:rPr>
                      <w:rPr>
                        <w:sz w:val="18"/>
                        <w:szCs w:val="18"/>
                      </w:rPr>
                      <m:t>~130</m:t>
                    </m:r>
                    <m:r>
                      <m:rPr>
                        <m:nor/>
                        <m:sty m:val="p"/>
                      </m:rPr>
                      <w:rPr>
                        <w:sz w:val="18"/>
                        <w:szCs w:val="18"/>
                        <w:lang w:eastAsia="zh-CN"/>
                      </w:rPr>
                      <m:t>）</m:t>
                    </m:r>
                    <m:ctrlPr>
                      <w:rPr>
                        <w:rFonts w:ascii="Cambria Math" w:hAnsi="Cambria Math"/>
                        <w:color w:val="000000"/>
                        <w:sz w:val="18"/>
                        <w:szCs w:val="18"/>
                      </w:rPr>
                    </m:ctrlPr>
                  </m:den>
                </m:f>
              </m:oMath>
            </m:oMathPara>
          </w:p>
        </w:tc>
        <w:tc>
          <w:tcPr>
            <w:tcW w:w="1166" w:type="dxa"/>
            <w:vAlign w:val="center"/>
          </w:tcPr>
          <w:p w14:paraId="51E61946">
            <w:pPr>
              <w:spacing w:line="260" w:lineRule="exact"/>
              <w:jc w:val="center"/>
              <w:rPr>
                <w:sz w:val="18"/>
                <w:szCs w:val="18"/>
              </w:rPr>
            </w:pPr>
            <w:r>
              <w:rPr>
                <w:rFonts w:hint="eastAsia"/>
                <w:sz w:val="18"/>
                <w:szCs w:val="18"/>
                <w:lang w:eastAsia="zh-CN" w:bidi="ar-SA"/>
              </w:rPr>
              <w:t>♂</w:t>
            </w:r>
            <w:r>
              <w:rPr>
                <w:sz w:val="18"/>
                <w:szCs w:val="18"/>
              </w:rPr>
              <w:t>117</w:t>
            </w:r>
            <w:r>
              <w:rPr>
                <w:rFonts w:hint="eastAsia"/>
                <w:sz w:val="18"/>
                <w:szCs w:val="18"/>
                <w:lang w:eastAsia="zh-CN"/>
              </w:rPr>
              <w:t>±</w:t>
            </w:r>
            <w:r>
              <w:rPr>
                <w:sz w:val="18"/>
                <w:szCs w:val="18"/>
              </w:rPr>
              <w:t>23.1</w:t>
            </w:r>
          </w:p>
          <w:p w14:paraId="0E82F42E">
            <w:pPr>
              <w:spacing w:line="260" w:lineRule="exact"/>
              <w:jc w:val="center"/>
              <w:rPr>
                <w:sz w:val="18"/>
                <w:szCs w:val="18"/>
              </w:rPr>
            </w:pPr>
            <w:r>
              <w:rPr>
                <w:rFonts w:hint="eastAsia"/>
                <w:sz w:val="18"/>
                <w:szCs w:val="18"/>
                <w:lang w:eastAsia="zh-CN" w:bidi="ar-SA"/>
              </w:rPr>
              <w:t>♀</w:t>
            </w:r>
            <w:r>
              <w:rPr>
                <w:sz w:val="18"/>
                <w:szCs w:val="18"/>
              </w:rPr>
              <w:t>119</w:t>
            </w:r>
            <w:r>
              <w:rPr>
                <w:rFonts w:hint="eastAsia"/>
                <w:sz w:val="18"/>
                <w:szCs w:val="18"/>
                <w:lang w:eastAsia="zh-CN"/>
              </w:rPr>
              <w:t>±</w:t>
            </w:r>
            <w:r>
              <w:rPr>
                <w:sz w:val="18"/>
                <w:szCs w:val="18"/>
              </w:rPr>
              <w:t>22.7</w:t>
            </w:r>
          </w:p>
        </w:tc>
      </w:tr>
      <w:tr w14:paraId="6584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05908EE8">
            <w:pPr>
              <w:spacing w:line="360" w:lineRule="auto"/>
              <w:jc w:val="center"/>
              <w:rPr>
                <w:sz w:val="18"/>
                <w:szCs w:val="18"/>
              </w:rPr>
            </w:pPr>
            <w:r>
              <w:rPr>
                <w:rFonts w:hint="eastAsia"/>
                <w:sz w:val="18"/>
                <w:szCs w:val="18"/>
              </w:rPr>
              <w:t>豚鼠</w:t>
            </w:r>
          </w:p>
        </w:tc>
        <w:tc>
          <w:tcPr>
            <w:tcW w:w="1275" w:type="dxa"/>
            <w:vAlign w:val="center"/>
          </w:tcPr>
          <w:p w14:paraId="1E8C383C">
            <w:pPr>
              <w:widowControl w:val="0"/>
              <w:jc w:val="center"/>
              <w:rPr>
                <w:sz w:val="18"/>
                <w:szCs w:val="18"/>
                <w:lang w:eastAsia="zh-CN" w:bidi="ar-SA"/>
              </w:rPr>
            </w:pPr>
            <w:r>
              <w:rPr>
                <w:rFonts w:hint="eastAsia"/>
                <w:sz w:val="18"/>
                <w:szCs w:val="18"/>
                <w:lang w:eastAsia="zh-CN" w:bidi="ar-SA"/>
              </w:rPr>
              <w:t>361.5</w:t>
            </w:r>
          </w:p>
        </w:tc>
        <w:tc>
          <w:tcPr>
            <w:tcW w:w="1276" w:type="dxa"/>
            <w:vAlign w:val="center"/>
          </w:tcPr>
          <w:p w14:paraId="30DEB864">
            <w:pPr>
              <w:spacing w:line="260" w:lineRule="exact"/>
              <w:jc w:val="center"/>
              <w:rPr>
                <w:sz w:val="18"/>
                <w:szCs w:val="18"/>
              </w:rPr>
            </w:pPr>
            <w:r>
              <w:rPr>
                <w:rFonts w:hint="eastAsia"/>
                <w:sz w:val="18"/>
                <w:szCs w:val="18"/>
              </w:rPr>
              <w:t>3</w:t>
            </w:r>
            <w:r>
              <w:rPr>
                <w:sz w:val="18"/>
                <w:szCs w:val="18"/>
              </w:rPr>
              <w:t>9</w:t>
            </w:r>
            <w:r>
              <w:rPr>
                <w:rFonts w:hint="eastAsia"/>
                <w:sz w:val="18"/>
                <w:szCs w:val="18"/>
              </w:rPr>
              <w:t>.</w:t>
            </w:r>
            <w:r>
              <w:rPr>
                <w:sz w:val="18"/>
                <w:szCs w:val="18"/>
              </w:rPr>
              <w:t>1</w:t>
            </w:r>
          </w:p>
          <w:p w14:paraId="5272396B">
            <w:pPr>
              <w:spacing w:line="260" w:lineRule="exact"/>
              <w:jc w:val="center"/>
              <w:rPr>
                <w:sz w:val="18"/>
                <w:szCs w:val="18"/>
              </w:rPr>
            </w:pPr>
            <w:r>
              <w:rPr>
                <w:rFonts w:hint="eastAsia"/>
                <w:sz w:val="18"/>
                <w:szCs w:val="18"/>
              </w:rPr>
              <w:t>38.</w:t>
            </w:r>
            <w:r>
              <w:rPr>
                <w:sz w:val="18"/>
                <w:szCs w:val="18"/>
              </w:rPr>
              <w:t>4</w:t>
            </w:r>
            <w:r>
              <w:rPr>
                <w:rFonts w:hint="eastAsia"/>
                <w:sz w:val="18"/>
                <w:szCs w:val="18"/>
              </w:rPr>
              <w:t>~3</w:t>
            </w:r>
            <w:r>
              <w:rPr>
                <w:sz w:val="18"/>
                <w:szCs w:val="18"/>
              </w:rPr>
              <w:t>9.8</w:t>
            </w:r>
          </w:p>
        </w:tc>
        <w:tc>
          <w:tcPr>
            <w:tcW w:w="1276" w:type="dxa"/>
            <w:vAlign w:val="center"/>
          </w:tcPr>
          <w:p w14:paraId="1B144697">
            <w:pPr>
              <w:spacing w:line="260" w:lineRule="exact"/>
              <w:jc w:val="center"/>
              <w:rPr>
                <w:sz w:val="18"/>
                <w:szCs w:val="18"/>
              </w:rPr>
            </w:pPr>
            <w:r>
              <w:rPr>
                <w:sz w:val="18"/>
                <w:szCs w:val="18"/>
              </w:rPr>
              <w:t>90</w:t>
            </w:r>
          </w:p>
          <w:p w14:paraId="363644BE">
            <w:pPr>
              <w:spacing w:line="260" w:lineRule="exact"/>
              <w:jc w:val="center"/>
              <w:rPr>
                <w:sz w:val="18"/>
                <w:szCs w:val="18"/>
              </w:rPr>
            </w:pPr>
            <w:r>
              <w:rPr>
                <w:sz w:val="18"/>
                <w:szCs w:val="18"/>
              </w:rPr>
              <w:t>69</w:t>
            </w:r>
            <w:r>
              <w:rPr>
                <w:rFonts w:hint="eastAsia"/>
                <w:sz w:val="18"/>
                <w:szCs w:val="18"/>
              </w:rPr>
              <w:t>~</w:t>
            </w:r>
            <w:r>
              <w:rPr>
                <w:sz w:val="18"/>
                <w:szCs w:val="18"/>
              </w:rPr>
              <w:t>104</w:t>
            </w:r>
          </w:p>
        </w:tc>
        <w:tc>
          <w:tcPr>
            <w:tcW w:w="1276" w:type="dxa"/>
            <w:vAlign w:val="center"/>
          </w:tcPr>
          <w:p w14:paraId="3E3934C5">
            <w:pPr>
              <w:spacing w:line="260" w:lineRule="exact"/>
              <w:jc w:val="center"/>
              <w:rPr>
                <w:sz w:val="18"/>
                <w:szCs w:val="18"/>
              </w:rPr>
            </w:pPr>
            <w:r>
              <w:rPr>
                <w:color w:val="000000"/>
                <w:sz w:val="18"/>
                <w:szCs w:val="18"/>
              </w:rPr>
              <w:t>260</w:t>
            </w:r>
            <w:r>
              <w:rPr>
                <w:rFonts w:hint="eastAsia"/>
                <w:color w:val="000000"/>
                <w:sz w:val="18"/>
                <w:szCs w:val="18"/>
              </w:rPr>
              <w:t>~</w:t>
            </w:r>
            <w:r>
              <w:rPr>
                <w:color w:val="000000"/>
                <w:sz w:val="18"/>
                <w:szCs w:val="18"/>
              </w:rPr>
              <w:t>400</w:t>
            </w:r>
          </w:p>
        </w:tc>
        <w:tc>
          <w:tcPr>
            <w:tcW w:w="1412" w:type="dxa"/>
            <w:vAlign w:val="center"/>
          </w:tcPr>
          <w:p w14:paraId="1A875095">
            <w:pPr>
              <w:spacing w:line="360" w:lineRule="auto"/>
              <w:ind w:firstLine="360" w:firstLineChars="200"/>
              <w:jc w:val="center"/>
              <w:rPr>
                <w:color w:val="000000"/>
                <w:sz w:val="18"/>
                <w:szCs w:val="18"/>
                <w:lang w:eastAsia="zh-CN"/>
              </w:rPr>
            </w:pPr>
            <m:oMathPara>
              <m:oMath>
                <m:f>
                  <m:fPr>
                    <m:ctrlPr>
                      <w:rPr>
                        <w:rFonts w:ascii="Cambria Math" w:hAnsi="Cambria Math"/>
                        <w:color w:val="000000"/>
                        <w:sz w:val="18"/>
                        <w:szCs w:val="18"/>
                      </w:rPr>
                    </m:ctrlPr>
                  </m:fPr>
                  <m:num>
                    <m:r>
                      <m:rPr>
                        <m:nor/>
                        <m:sty m:val="p"/>
                      </m:rPr>
                      <w:rPr>
                        <w:sz w:val="18"/>
                        <w:szCs w:val="18"/>
                      </w:rPr>
                      <m:t>55~58</m:t>
                    </m:r>
                    <m:ctrlPr>
                      <w:rPr>
                        <w:rFonts w:ascii="Cambria Math" w:hAnsi="Cambria Math"/>
                        <w:color w:val="000000"/>
                        <w:sz w:val="18"/>
                        <w:szCs w:val="18"/>
                      </w:rPr>
                    </m:ctrlPr>
                  </m:num>
                  <m:den>
                    <m:r>
                      <m:rPr>
                        <m:nor/>
                        <m:sty m:val="p"/>
                      </m:rPr>
                      <w:rPr>
                        <w:sz w:val="18"/>
                        <w:szCs w:val="18"/>
                        <w:lang w:eastAsia="zh-CN"/>
                      </w:rPr>
                      <m:t>80</m:t>
                    </m:r>
                    <m:r>
                      <m:rPr>
                        <m:nor/>
                        <m:sty m:val="p"/>
                      </m:rPr>
                      <w:rPr>
                        <w:sz w:val="18"/>
                        <w:szCs w:val="18"/>
                      </w:rPr>
                      <m:t>~94</m:t>
                    </m:r>
                    <m:ctrlPr>
                      <w:rPr>
                        <w:rFonts w:ascii="Cambria Math" w:hAnsi="Cambria Math"/>
                        <w:color w:val="000000"/>
                        <w:sz w:val="18"/>
                        <w:szCs w:val="18"/>
                      </w:rPr>
                    </m:ctrlPr>
                  </m:den>
                </m:f>
              </m:oMath>
            </m:oMathPara>
          </w:p>
        </w:tc>
        <w:tc>
          <w:tcPr>
            <w:tcW w:w="1166" w:type="dxa"/>
            <w:vAlign w:val="center"/>
          </w:tcPr>
          <w:p w14:paraId="30BB3069">
            <w:pPr>
              <w:spacing w:line="260" w:lineRule="exact"/>
              <w:jc w:val="center"/>
              <w:rPr>
                <w:sz w:val="18"/>
                <w:szCs w:val="18"/>
                <w:lang w:eastAsia="zh-CN"/>
              </w:rPr>
            </w:pPr>
            <w:bookmarkStart w:id="18" w:name="OLE_LINK16"/>
            <w:bookmarkStart w:id="19" w:name="OLE_LINK15"/>
            <w:r>
              <w:rPr>
                <w:rFonts w:hint="eastAsia"/>
                <w:sz w:val="18"/>
                <w:szCs w:val="18"/>
                <w:lang w:eastAsia="zh-CN" w:bidi="ar-SA"/>
              </w:rPr>
              <w:t>♂</w:t>
            </w:r>
            <w:r>
              <w:rPr>
                <w:sz w:val="18"/>
                <w:szCs w:val="18"/>
                <w:lang w:eastAsia="zh-CN"/>
              </w:rPr>
              <w:t>95.3</w:t>
            </w:r>
            <w:r>
              <w:rPr>
                <w:rFonts w:hint="eastAsia"/>
                <w:sz w:val="18"/>
                <w:szCs w:val="18"/>
                <w:lang w:eastAsia="zh-CN"/>
              </w:rPr>
              <w:t>±</w:t>
            </w:r>
            <w:r>
              <w:rPr>
                <w:sz w:val="18"/>
                <w:szCs w:val="18"/>
                <w:lang w:eastAsia="zh-CN"/>
              </w:rPr>
              <w:t>11.9</w:t>
            </w:r>
          </w:p>
          <w:p w14:paraId="177431CB">
            <w:pPr>
              <w:spacing w:line="260" w:lineRule="exact"/>
              <w:jc w:val="center"/>
              <w:rPr>
                <w:sz w:val="18"/>
                <w:szCs w:val="18"/>
              </w:rPr>
            </w:pPr>
            <w:r>
              <w:rPr>
                <w:rFonts w:hint="eastAsia"/>
                <w:sz w:val="18"/>
                <w:szCs w:val="18"/>
                <w:lang w:eastAsia="zh-CN" w:bidi="ar-SA"/>
              </w:rPr>
              <w:t>♀</w:t>
            </w:r>
            <w:r>
              <w:rPr>
                <w:sz w:val="18"/>
                <w:szCs w:val="18"/>
                <w:lang w:eastAsia="zh-CN" w:bidi="ar-SA"/>
              </w:rPr>
              <w:t>89</w:t>
            </w:r>
            <w:r>
              <w:rPr>
                <w:rFonts w:hint="eastAsia"/>
                <w:sz w:val="18"/>
                <w:szCs w:val="18"/>
                <w:lang w:eastAsia="zh-CN"/>
              </w:rPr>
              <w:t>±</w:t>
            </w:r>
            <w:r>
              <w:rPr>
                <w:sz w:val="18"/>
                <w:szCs w:val="18"/>
                <w:lang w:eastAsia="zh-CN"/>
              </w:rPr>
              <w:t>9.6</w:t>
            </w:r>
            <w:bookmarkEnd w:id="18"/>
            <w:bookmarkEnd w:id="19"/>
          </w:p>
        </w:tc>
      </w:tr>
      <w:tr w14:paraId="6490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0F6C949A">
            <w:pPr>
              <w:spacing w:line="360" w:lineRule="auto"/>
              <w:jc w:val="center"/>
              <w:rPr>
                <w:sz w:val="18"/>
                <w:szCs w:val="18"/>
              </w:rPr>
            </w:pPr>
            <w:r>
              <w:rPr>
                <w:rFonts w:hint="eastAsia"/>
                <w:sz w:val="18"/>
                <w:szCs w:val="18"/>
              </w:rPr>
              <w:t>兔</w:t>
            </w:r>
          </w:p>
        </w:tc>
        <w:tc>
          <w:tcPr>
            <w:tcW w:w="1275" w:type="dxa"/>
            <w:vAlign w:val="center"/>
          </w:tcPr>
          <w:p w14:paraId="6FDD2207">
            <w:pPr>
              <w:widowControl w:val="0"/>
              <w:jc w:val="center"/>
              <w:rPr>
                <w:sz w:val="18"/>
                <w:szCs w:val="18"/>
                <w:lang w:eastAsia="zh-CN" w:bidi="ar-SA"/>
              </w:rPr>
            </w:pPr>
            <w:r>
              <w:rPr>
                <w:rFonts w:hint="eastAsia"/>
                <w:sz w:val="18"/>
                <w:szCs w:val="18"/>
                <w:lang w:eastAsia="zh-CN" w:bidi="ar-SA"/>
              </w:rPr>
              <w:t>♂2900</w:t>
            </w:r>
          </w:p>
          <w:p w14:paraId="4EFAFF96">
            <w:pPr>
              <w:widowControl w:val="0"/>
              <w:jc w:val="center"/>
              <w:rPr>
                <w:sz w:val="18"/>
                <w:szCs w:val="18"/>
                <w:lang w:eastAsia="zh-CN" w:bidi="ar-SA"/>
              </w:rPr>
            </w:pPr>
            <w:r>
              <w:rPr>
                <w:rFonts w:hint="eastAsia"/>
                <w:sz w:val="18"/>
                <w:szCs w:val="18"/>
                <w:lang w:eastAsia="zh-CN" w:bidi="ar-SA"/>
              </w:rPr>
              <w:t>♀2975</w:t>
            </w:r>
          </w:p>
        </w:tc>
        <w:tc>
          <w:tcPr>
            <w:tcW w:w="1276" w:type="dxa"/>
            <w:vAlign w:val="center"/>
          </w:tcPr>
          <w:p w14:paraId="642ABC1F">
            <w:pPr>
              <w:spacing w:line="260" w:lineRule="exact"/>
              <w:jc w:val="center"/>
              <w:rPr>
                <w:sz w:val="18"/>
                <w:szCs w:val="18"/>
              </w:rPr>
            </w:pPr>
            <w:r>
              <w:rPr>
                <w:sz w:val="18"/>
                <w:szCs w:val="18"/>
              </w:rPr>
              <w:t>38.8</w:t>
            </w:r>
          </w:p>
          <w:p w14:paraId="49E3DE90">
            <w:pPr>
              <w:spacing w:line="260" w:lineRule="exact"/>
              <w:jc w:val="center"/>
              <w:rPr>
                <w:sz w:val="18"/>
                <w:szCs w:val="18"/>
              </w:rPr>
            </w:pPr>
            <w:r>
              <w:rPr>
                <w:sz w:val="18"/>
                <w:szCs w:val="18"/>
              </w:rPr>
              <w:t>37.5</w:t>
            </w:r>
            <w:bookmarkStart w:id="20" w:name="OLE_LINK22"/>
            <w:bookmarkStart w:id="21" w:name="OLE_LINK21"/>
            <w:r>
              <w:rPr>
                <w:rFonts w:hint="eastAsia"/>
                <w:sz w:val="18"/>
                <w:szCs w:val="18"/>
              </w:rPr>
              <w:t>~</w:t>
            </w:r>
            <w:bookmarkEnd w:id="20"/>
            <w:bookmarkEnd w:id="21"/>
            <w:r>
              <w:rPr>
                <w:sz w:val="18"/>
                <w:szCs w:val="18"/>
              </w:rPr>
              <w:t>40</w:t>
            </w:r>
            <w:r>
              <w:rPr>
                <w:rFonts w:hint="eastAsia"/>
                <w:sz w:val="18"/>
                <w:szCs w:val="18"/>
                <w:lang w:eastAsia="zh-CN"/>
              </w:rPr>
              <w:t>.</w:t>
            </w:r>
            <w:r>
              <w:rPr>
                <w:sz w:val="18"/>
                <w:szCs w:val="18"/>
                <w:lang w:eastAsia="zh-CN"/>
              </w:rPr>
              <w:t>1</w:t>
            </w:r>
          </w:p>
        </w:tc>
        <w:tc>
          <w:tcPr>
            <w:tcW w:w="1276" w:type="dxa"/>
            <w:vAlign w:val="center"/>
          </w:tcPr>
          <w:p w14:paraId="7C9218E6">
            <w:pPr>
              <w:spacing w:line="260" w:lineRule="exact"/>
              <w:jc w:val="center"/>
              <w:rPr>
                <w:sz w:val="18"/>
                <w:szCs w:val="18"/>
              </w:rPr>
            </w:pPr>
            <w:r>
              <w:rPr>
                <w:sz w:val="18"/>
                <w:szCs w:val="18"/>
              </w:rPr>
              <w:t>51</w:t>
            </w:r>
          </w:p>
          <w:p w14:paraId="100777A1">
            <w:pPr>
              <w:spacing w:line="260" w:lineRule="exact"/>
              <w:jc w:val="center"/>
              <w:rPr>
                <w:sz w:val="18"/>
                <w:szCs w:val="18"/>
              </w:rPr>
            </w:pPr>
            <w:r>
              <w:rPr>
                <w:sz w:val="18"/>
                <w:szCs w:val="18"/>
              </w:rPr>
              <w:t>32</w:t>
            </w:r>
            <w:r>
              <w:rPr>
                <w:rFonts w:hint="eastAsia"/>
                <w:sz w:val="18"/>
                <w:szCs w:val="18"/>
              </w:rPr>
              <w:t>~</w:t>
            </w:r>
            <w:r>
              <w:rPr>
                <w:sz w:val="18"/>
                <w:szCs w:val="18"/>
              </w:rPr>
              <w:t>60</w:t>
            </w:r>
          </w:p>
        </w:tc>
        <w:tc>
          <w:tcPr>
            <w:tcW w:w="1276" w:type="dxa"/>
            <w:vAlign w:val="center"/>
          </w:tcPr>
          <w:p w14:paraId="40A63CD7">
            <w:pPr>
              <w:spacing w:line="260" w:lineRule="exact"/>
              <w:jc w:val="center"/>
              <w:rPr>
                <w:sz w:val="18"/>
                <w:szCs w:val="18"/>
              </w:rPr>
            </w:pPr>
            <w:r>
              <w:rPr>
                <w:sz w:val="18"/>
                <w:szCs w:val="18"/>
              </w:rPr>
              <w:t>123</w:t>
            </w:r>
            <w:r>
              <w:rPr>
                <w:rFonts w:hint="eastAsia"/>
                <w:sz w:val="18"/>
                <w:szCs w:val="18"/>
              </w:rPr>
              <w:t>~</w:t>
            </w:r>
            <w:r>
              <w:rPr>
                <w:sz w:val="18"/>
                <w:szCs w:val="18"/>
              </w:rPr>
              <w:t>304</w:t>
            </w:r>
          </w:p>
        </w:tc>
        <w:tc>
          <w:tcPr>
            <w:tcW w:w="1412" w:type="dxa"/>
            <w:vAlign w:val="center"/>
          </w:tcPr>
          <w:p w14:paraId="6EB1FB77">
            <w:pPr>
              <w:spacing w:line="360" w:lineRule="auto"/>
              <w:ind w:firstLine="360" w:firstLineChars="200"/>
              <w:jc w:val="center"/>
              <w:rPr>
                <w:color w:val="000000"/>
                <w:sz w:val="18"/>
                <w:szCs w:val="18"/>
                <w:lang w:eastAsia="zh-CN"/>
              </w:rPr>
            </w:pPr>
            <m:oMathPara>
              <m:oMath>
                <m:f>
                  <m:fPr>
                    <m:ctrlPr>
                      <w:rPr>
                        <w:rFonts w:ascii="Cambria Math" w:hAnsi="Cambria Math"/>
                        <w:color w:val="000000"/>
                        <w:sz w:val="18"/>
                        <w:szCs w:val="18"/>
                      </w:rPr>
                    </m:ctrlPr>
                  </m:fPr>
                  <m:num>
                    <m:r>
                      <m:rPr>
                        <m:nor/>
                        <m:sty m:val="p"/>
                      </m:rPr>
                      <w:rPr>
                        <w:sz w:val="18"/>
                        <w:szCs w:val="18"/>
                      </w:rPr>
                      <m:t>80</m:t>
                    </m:r>
                    <m:r>
                      <m:rPr>
                        <m:nor/>
                        <m:sty m:val="p"/>
                      </m:rPr>
                      <w:rPr>
                        <w:sz w:val="18"/>
                        <w:szCs w:val="18"/>
                        <w:lang w:eastAsia="zh-CN"/>
                      </w:rPr>
                      <m:t>（</m:t>
                    </m:r>
                    <m:r>
                      <m:rPr>
                        <m:nor/>
                        <m:sty m:val="p"/>
                      </m:rPr>
                      <w:rPr>
                        <w:sz w:val="18"/>
                        <w:szCs w:val="18"/>
                      </w:rPr>
                      <m:t>60~90</m:t>
                    </m:r>
                    <m:r>
                      <m:rPr>
                        <m:nor/>
                        <m:sty m:val="p"/>
                      </m:rPr>
                      <w:rPr>
                        <w:sz w:val="18"/>
                        <w:szCs w:val="18"/>
                        <w:lang w:eastAsia="zh-CN"/>
                      </w:rPr>
                      <m:t>）</m:t>
                    </m:r>
                    <m:ctrlPr>
                      <w:rPr>
                        <w:rFonts w:ascii="Cambria Math" w:hAnsi="Cambria Math"/>
                        <w:color w:val="000000"/>
                        <w:sz w:val="18"/>
                        <w:szCs w:val="18"/>
                      </w:rPr>
                    </m:ctrlPr>
                  </m:num>
                  <m:den>
                    <m:r>
                      <m:rPr>
                        <m:nor/>
                        <m:sty m:val="p"/>
                      </m:rPr>
                      <w:rPr>
                        <w:sz w:val="18"/>
                        <w:szCs w:val="18"/>
                        <w:lang w:eastAsia="zh-CN"/>
                      </w:rPr>
                      <m:t>110（95</m:t>
                    </m:r>
                    <m:r>
                      <m:rPr>
                        <m:nor/>
                        <m:sty m:val="p"/>
                      </m:rPr>
                      <w:rPr>
                        <w:sz w:val="18"/>
                        <w:szCs w:val="18"/>
                      </w:rPr>
                      <m:t>~130</m:t>
                    </m:r>
                    <m:r>
                      <m:rPr>
                        <m:nor/>
                        <m:sty m:val="p"/>
                      </m:rPr>
                      <w:rPr>
                        <w:sz w:val="18"/>
                        <w:szCs w:val="18"/>
                        <w:lang w:eastAsia="zh-CN"/>
                      </w:rPr>
                      <m:t>）</m:t>
                    </m:r>
                    <m:ctrlPr>
                      <w:rPr>
                        <w:rFonts w:ascii="Cambria Math" w:hAnsi="Cambria Math"/>
                        <w:color w:val="000000"/>
                        <w:sz w:val="18"/>
                        <w:szCs w:val="18"/>
                      </w:rPr>
                    </m:ctrlPr>
                  </m:den>
                </m:f>
              </m:oMath>
            </m:oMathPara>
          </w:p>
        </w:tc>
        <w:tc>
          <w:tcPr>
            <w:tcW w:w="1166" w:type="dxa"/>
            <w:vAlign w:val="center"/>
          </w:tcPr>
          <w:p w14:paraId="45F48AD0">
            <w:pPr>
              <w:spacing w:line="260" w:lineRule="exact"/>
              <w:jc w:val="center"/>
              <w:rPr>
                <w:sz w:val="18"/>
                <w:szCs w:val="18"/>
                <w:lang w:eastAsia="zh-CN"/>
              </w:rPr>
            </w:pPr>
            <w:r>
              <w:rPr>
                <w:rFonts w:hint="eastAsia"/>
                <w:sz w:val="18"/>
                <w:szCs w:val="18"/>
                <w:lang w:eastAsia="zh-CN" w:bidi="ar-SA"/>
              </w:rPr>
              <w:t>♂</w:t>
            </w:r>
            <w:r>
              <w:rPr>
                <w:sz w:val="18"/>
                <w:szCs w:val="18"/>
                <w:lang w:eastAsia="zh-CN"/>
              </w:rPr>
              <w:t>148</w:t>
            </w:r>
            <w:r>
              <w:rPr>
                <w:rFonts w:hint="eastAsia"/>
                <w:sz w:val="18"/>
                <w:szCs w:val="18"/>
                <w:lang w:eastAsia="zh-CN"/>
              </w:rPr>
              <w:t>±</w:t>
            </w:r>
            <w:r>
              <w:rPr>
                <w:sz w:val="18"/>
                <w:szCs w:val="18"/>
                <w:lang w:eastAsia="zh-CN"/>
              </w:rPr>
              <w:t>29.4</w:t>
            </w:r>
          </w:p>
          <w:p w14:paraId="2DE6FB18">
            <w:pPr>
              <w:spacing w:line="260" w:lineRule="exact"/>
              <w:jc w:val="center"/>
              <w:rPr>
                <w:sz w:val="18"/>
                <w:szCs w:val="18"/>
                <w:lang w:eastAsia="zh-CN"/>
              </w:rPr>
            </w:pPr>
            <w:r>
              <w:rPr>
                <w:rFonts w:hint="eastAsia"/>
                <w:sz w:val="18"/>
                <w:szCs w:val="18"/>
                <w:lang w:eastAsia="zh-CN" w:bidi="ar-SA"/>
              </w:rPr>
              <w:t>♀</w:t>
            </w:r>
            <w:r>
              <w:rPr>
                <w:sz w:val="18"/>
                <w:szCs w:val="18"/>
                <w:lang w:eastAsia="zh-CN" w:bidi="ar-SA"/>
              </w:rPr>
              <w:t>138</w:t>
            </w:r>
            <w:r>
              <w:rPr>
                <w:rFonts w:hint="eastAsia"/>
                <w:sz w:val="18"/>
                <w:szCs w:val="18"/>
                <w:lang w:eastAsia="zh-CN"/>
              </w:rPr>
              <w:t>±</w:t>
            </w:r>
            <w:r>
              <w:rPr>
                <w:sz w:val="18"/>
                <w:szCs w:val="18"/>
                <w:lang w:eastAsia="zh-CN"/>
              </w:rPr>
              <w:t>11.5</w:t>
            </w:r>
          </w:p>
        </w:tc>
      </w:tr>
      <w:tr w14:paraId="2894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9" w:hRule="atLeast"/>
          <w:jc w:val="center"/>
        </w:trPr>
        <w:tc>
          <w:tcPr>
            <w:tcW w:w="1135" w:type="dxa"/>
            <w:vAlign w:val="center"/>
          </w:tcPr>
          <w:p w14:paraId="201F7E25">
            <w:pPr>
              <w:spacing w:line="360" w:lineRule="auto"/>
              <w:jc w:val="center"/>
              <w:rPr>
                <w:sz w:val="18"/>
                <w:szCs w:val="18"/>
              </w:rPr>
            </w:pPr>
            <w:r>
              <w:rPr>
                <w:rFonts w:hint="eastAsia"/>
                <w:sz w:val="18"/>
                <w:szCs w:val="18"/>
              </w:rPr>
              <w:t>地鼠</w:t>
            </w:r>
          </w:p>
        </w:tc>
        <w:tc>
          <w:tcPr>
            <w:tcW w:w="1275" w:type="dxa"/>
            <w:vAlign w:val="center"/>
          </w:tcPr>
          <w:p w14:paraId="78D38FC0">
            <w:pPr>
              <w:widowControl w:val="0"/>
              <w:jc w:val="center"/>
              <w:rPr>
                <w:sz w:val="18"/>
                <w:szCs w:val="18"/>
                <w:lang w:eastAsia="zh-CN" w:bidi="ar-SA"/>
              </w:rPr>
            </w:pPr>
            <w:r>
              <w:rPr>
                <w:rFonts w:hint="eastAsia"/>
                <w:sz w:val="18"/>
                <w:szCs w:val="18"/>
                <w:lang w:eastAsia="zh-CN" w:bidi="ar-SA"/>
              </w:rPr>
              <w:t>120</w:t>
            </w:r>
          </w:p>
        </w:tc>
        <w:tc>
          <w:tcPr>
            <w:tcW w:w="1276" w:type="dxa"/>
            <w:vAlign w:val="center"/>
          </w:tcPr>
          <w:p w14:paraId="2D53ED4D">
            <w:pPr>
              <w:spacing w:line="260" w:lineRule="exact"/>
              <w:jc w:val="center"/>
              <w:rPr>
                <w:sz w:val="18"/>
                <w:szCs w:val="18"/>
              </w:rPr>
            </w:pPr>
            <w:r>
              <w:rPr>
                <w:sz w:val="18"/>
                <w:szCs w:val="18"/>
              </w:rPr>
              <w:t>36.9</w:t>
            </w:r>
          </w:p>
          <w:p w14:paraId="3F3B353F">
            <w:pPr>
              <w:spacing w:line="260" w:lineRule="exact"/>
              <w:jc w:val="center"/>
              <w:rPr>
                <w:sz w:val="18"/>
                <w:szCs w:val="18"/>
                <w:lang w:eastAsia="zh-CN"/>
              </w:rPr>
            </w:pPr>
            <w:r>
              <w:rPr>
                <w:rFonts w:hint="eastAsia"/>
                <w:sz w:val="18"/>
                <w:szCs w:val="18"/>
                <w:lang w:eastAsia="zh-CN"/>
              </w:rPr>
              <w:t>3</w:t>
            </w:r>
            <w:r>
              <w:rPr>
                <w:sz w:val="18"/>
                <w:szCs w:val="18"/>
                <w:lang w:eastAsia="zh-CN"/>
              </w:rPr>
              <w:t>6.4</w:t>
            </w:r>
            <w:r>
              <w:rPr>
                <w:rFonts w:hint="eastAsia"/>
                <w:sz w:val="18"/>
                <w:szCs w:val="18"/>
              </w:rPr>
              <w:t>~</w:t>
            </w:r>
            <w:r>
              <w:rPr>
                <w:sz w:val="18"/>
                <w:szCs w:val="18"/>
              </w:rPr>
              <w:t>37.4</w:t>
            </w:r>
          </w:p>
        </w:tc>
        <w:tc>
          <w:tcPr>
            <w:tcW w:w="1276" w:type="dxa"/>
            <w:vAlign w:val="center"/>
          </w:tcPr>
          <w:p w14:paraId="00B452D9">
            <w:pPr>
              <w:spacing w:line="260" w:lineRule="exact"/>
              <w:jc w:val="center"/>
              <w:rPr>
                <w:sz w:val="18"/>
                <w:szCs w:val="18"/>
              </w:rPr>
            </w:pPr>
            <w:r>
              <w:rPr>
                <w:rFonts w:hint="eastAsia"/>
                <w:sz w:val="18"/>
                <w:szCs w:val="18"/>
              </w:rPr>
              <w:t>7</w:t>
            </w:r>
            <w:r>
              <w:rPr>
                <w:sz w:val="18"/>
                <w:szCs w:val="18"/>
              </w:rPr>
              <w:t>4</w:t>
            </w:r>
          </w:p>
          <w:p w14:paraId="50F6BD6A">
            <w:pPr>
              <w:spacing w:line="260" w:lineRule="exact"/>
              <w:jc w:val="center"/>
              <w:rPr>
                <w:sz w:val="18"/>
                <w:szCs w:val="18"/>
              </w:rPr>
            </w:pPr>
            <w:r>
              <w:rPr>
                <w:sz w:val="18"/>
                <w:szCs w:val="18"/>
              </w:rPr>
              <w:t>33</w:t>
            </w:r>
            <w:r>
              <w:rPr>
                <w:rFonts w:hint="eastAsia"/>
                <w:sz w:val="18"/>
                <w:szCs w:val="18"/>
              </w:rPr>
              <w:t>~</w:t>
            </w:r>
            <w:r>
              <w:rPr>
                <w:sz w:val="18"/>
                <w:szCs w:val="18"/>
              </w:rPr>
              <w:t>127</w:t>
            </w:r>
          </w:p>
        </w:tc>
        <w:tc>
          <w:tcPr>
            <w:tcW w:w="1276" w:type="dxa"/>
            <w:vAlign w:val="center"/>
          </w:tcPr>
          <w:p w14:paraId="4FF3BBEA">
            <w:pPr>
              <w:spacing w:line="260" w:lineRule="exact"/>
              <w:jc w:val="center"/>
              <w:rPr>
                <w:sz w:val="18"/>
                <w:szCs w:val="18"/>
              </w:rPr>
            </w:pPr>
            <w:r>
              <w:rPr>
                <w:rFonts w:hint="eastAsia"/>
                <w:sz w:val="18"/>
                <w:szCs w:val="18"/>
              </w:rPr>
              <w:t>300~600</w:t>
            </w:r>
          </w:p>
        </w:tc>
        <w:tc>
          <w:tcPr>
            <w:tcW w:w="1412" w:type="dxa"/>
            <w:vAlign w:val="center"/>
          </w:tcPr>
          <w:p w14:paraId="1FAB764F">
            <w:pPr>
              <w:spacing w:line="360" w:lineRule="auto"/>
              <w:ind w:firstLine="360" w:firstLineChars="200"/>
              <w:rPr>
                <w:color w:val="000000"/>
                <w:sz w:val="18"/>
                <w:szCs w:val="18"/>
                <w:lang w:eastAsia="zh-CN"/>
              </w:rPr>
            </w:pPr>
            <m:oMathPara>
              <m:oMath>
                <m:f>
                  <m:fPr>
                    <m:ctrlPr>
                      <w:rPr>
                        <w:rFonts w:ascii="Cambria Math" w:hAnsi="Cambria Math" w:cs="宋体"/>
                        <w:color w:val="000000"/>
                        <w:sz w:val="18"/>
                        <w:szCs w:val="18"/>
                      </w:rPr>
                    </m:ctrlPr>
                  </m:fPr>
                  <m:num>
                    <m:r>
                      <m:rPr>
                        <m:nor/>
                        <m:sty m:val="p"/>
                      </m:rPr>
                      <w:rPr>
                        <w:rFonts w:ascii="Cambria Math"/>
                        <w:sz w:val="18"/>
                        <w:szCs w:val="18"/>
                      </w:rPr>
                      <m:t>90</m:t>
                    </m:r>
                    <m:ctrlPr>
                      <w:rPr>
                        <w:rFonts w:ascii="Cambria Math" w:hAnsi="Cambria Math" w:cs="宋体"/>
                        <w:color w:val="000000"/>
                        <w:sz w:val="18"/>
                        <w:szCs w:val="18"/>
                      </w:rPr>
                    </m:ctrlPr>
                  </m:num>
                  <m:den>
                    <m:r>
                      <m:rPr>
                        <m:nor/>
                        <m:sty m:val="p"/>
                      </m:rPr>
                      <w:rPr>
                        <w:sz w:val="18"/>
                        <w:szCs w:val="18"/>
                        <w:lang w:eastAsia="zh-CN"/>
                      </w:rPr>
                      <m:t>100</m:t>
                    </m:r>
                    <m:ctrlPr>
                      <w:rPr>
                        <w:rFonts w:ascii="Cambria Math" w:hAnsi="Cambria Math" w:cs="宋体"/>
                        <w:color w:val="000000"/>
                        <w:sz w:val="18"/>
                        <w:szCs w:val="18"/>
                      </w:rPr>
                    </m:ctrlPr>
                  </m:den>
                </m:f>
              </m:oMath>
            </m:oMathPara>
          </w:p>
        </w:tc>
        <w:tc>
          <w:tcPr>
            <w:tcW w:w="1166" w:type="dxa"/>
            <w:vAlign w:val="center"/>
          </w:tcPr>
          <w:p w14:paraId="7879EE80">
            <w:pPr>
              <w:spacing w:line="260" w:lineRule="exact"/>
              <w:jc w:val="center"/>
              <w:rPr>
                <w:sz w:val="18"/>
                <w:szCs w:val="18"/>
                <w:lang w:eastAsia="zh-CN"/>
              </w:rPr>
            </w:pPr>
            <w:bookmarkStart w:id="22" w:name="OLE_LINK20"/>
            <w:bookmarkStart w:id="23" w:name="OLE_LINK19"/>
            <w:r>
              <w:rPr>
                <w:rFonts w:hint="eastAsia"/>
                <w:sz w:val="18"/>
                <w:szCs w:val="18"/>
                <w:lang w:eastAsia="zh-CN" w:bidi="ar-SA"/>
              </w:rPr>
              <w:t>♂</w:t>
            </w:r>
            <w:r>
              <w:rPr>
                <w:sz w:val="18"/>
                <w:szCs w:val="18"/>
                <w:lang w:eastAsia="zh-CN"/>
              </w:rPr>
              <w:t>72</w:t>
            </w:r>
            <w:r>
              <w:rPr>
                <w:rFonts w:hint="eastAsia"/>
                <w:sz w:val="18"/>
                <w:szCs w:val="18"/>
                <w:lang w:eastAsia="zh-CN"/>
              </w:rPr>
              <w:t>±</w:t>
            </w:r>
            <w:r>
              <w:rPr>
                <w:sz w:val="18"/>
                <w:szCs w:val="18"/>
                <w:lang w:eastAsia="zh-CN"/>
              </w:rPr>
              <w:t>14.9</w:t>
            </w:r>
          </w:p>
          <w:p w14:paraId="4EF64B49">
            <w:pPr>
              <w:spacing w:line="260" w:lineRule="exact"/>
              <w:jc w:val="center"/>
              <w:rPr>
                <w:sz w:val="18"/>
                <w:szCs w:val="18"/>
                <w:lang w:eastAsia="zh-CN"/>
              </w:rPr>
            </w:pPr>
            <w:r>
              <w:rPr>
                <w:rFonts w:hint="eastAsia"/>
                <w:sz w:val="18"/>
                <w:szCs w:val="18"/>
                <w:lang w:eastAsia="zh-CN" w:bidi="ar-SA"/>
              </w:rPr>
              <w:t>♀</w:t>
            </w:r>
            <w:r>
              <w:rPr>
                <w:sz w:val="18"/>
                <w:szCs w:val="18"/>
                <w:lang w:eastAsia="zh-CN" w:bidi="ar-SA"/>
              </w:rPr>
              <w:t>82</w:t>
            </w:r>
            <w:r>
              <w:rPr>
                <w:rFonts w:hint="eastAsia"/>
                <w:sz w:val="18"/>
                <w:szCs w:val="18"/>
                <w:lang w:eastAsia="zh-CN"/>
              </w:rPr>
              <w:t>±</w:t>
            </w:r>
            <w:r>
              <w:rPr>
                <w:sz w:val="18"/>
                <w:szCs w:val="18"/>
                <w:lang w:eastAsia="zh-CN"/>
              </w:rPr>
              <w:t>11.6</w:t>
            </w:r>
            <w:bookmarkEnd w:id="22"/>
            <w:bookmarkEnd w:id="23"/>
          </w:p>
        </w:tc>
      </w:tr>
      <w:tr w14:paraId="734E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2F14E62A">
            <w:pPr>
              <w:spacing w:line="360" w:lineRule="auto"/>
              <w:jc w:val="center"/>
              <w:rPr>
                <w:sz w:val="18"/>
                <w:szCs w:val="18"/>
              </w:rPr>
            </w:pPr>
            <w:r>
              <w:rPr>
                <w:rFonts w:hint="eastAsia"/>
                <w:sz w:val="18"/>
                <w:szCs w:val="18"/>
              </w:rPr>
              <w:t>犬</w:t>
            </w:r>
          </w:p>
        </w:tc>
        <w:tc>
          <w:tcPr>
            <w:tcW w:w="1275" w:type="dxa"/>
            <w:vAlign w:val="center"/>
          </w:tcPr>
          <w:p w14:paraId="797A4AE8">
            <w:pPr>
              <w:widowControl w:val="0"/>
              <w:jc w:val="center"/>
              <w:rPr>
                <w:sz w:val="18"/>
                <w:szCs w:val="18"/>
                <w:lang w:eastAsia="zh-CN" w:bidi="ar-SA"/>
              </w:rPr>
            </w:pPr>
            <w:r>
              <w:rPr>
                <w:rFonts w:hint="eastAsia"/>
                <w:sz w:val="18"/>
                <w:szCs w:val="18"/>
                <w:lang w:eastAsia="zh-CN" w:bidi="ar-SA"/>
              </w:rPr>
              <w:t>13</w:t>
            </w:r>
            <w:r>
              <w:rPr>
                <w:rFonts w:hint="eastAsia"/>
                <w:sz w:val="18"/>
                <w:szCs w:val="18"/>
                <w:lang w:val="en-US" w:eastAsia="zh-CN" w:bidi="ar-SA"/>
              </w:rPr>
              <w:t xml:space="preserve"> </w:t>
            </w:r>
            <w:bookmarkStart w:id="32" w:name="_GoBack"/>
            <w:bookmarkEnd w:id="32"/>
            <w:r>
              <w:rPr>
                <w:rFonts w:hint="eastAsia"/>
                <w:sz w:val="18"/>
                <w:szCs w:val="18"/>
                <w:lang w:eastAsia="zh-CN" w:bidi="ar-SA"/>
              </w:rPr>
              <w:t>kg</w:t>
            </w:r>
          </w:p>
        </w:tc>
        <w:tc>
          <w:tcPr>
            <w:tcW w:w="1276" w:type="dxa"/>
            <w:vAlign w:val="center"/>
          </w:tcPr>
          <w:p w14:paraId="07C7C4AE">
            <w:pPr>
              <w:spacing w:line="260" w:lineRule="exact"/>
              <w:jc w:val="center"/>
              <w:rPr>
                <w:sz w:val="18"/>
                <w:szCs w:val="18"/>
              </w:rPr>
            </w:pPr>
            <w:r>
              <w:rPr>
                <w:rFonts w:hint="eastAsia"/>
                <w:sz w:val="18"/>
                <w:szCs w:val="18"/>
              </w:rPr>
              <w:t>38.</w:t>
            </w:r>
            <w:r>
              <w:rPr>
                <w:sz w:val="18"/>
                <w:szCs w:val="18"/>
              </w:rPr>
              <w:t>9</w:t>
            </w:r>
          </w:p>
          <w:p w14:paraId="7DE84868">
            <w:pPr>
              <w:spacing w:line="260" w:lineRule="exact"/>
              <w:jc w:val="center"/>
              <w:rPr>
                <w:sz w:val="18"/>
                <w:szCs w:val="18"/>
              </w:rPr>
            </w:pPr>
            <w:r>
              <w:rPr>
                <w:rFonts w:hint="eastAsia"/>
                <w:sz w:val="18"/>
                <w:szCs w:val="18"/>
              </w:rPr>
              <w:t>3</w:t>
            </w:r>
            <w:r>
              <w:rPr>
                <w:sz w:val="18"/>
                <w:szCs w:val="18"/>
              </w:rPr>
              <w:t>6</w:t>
            </w:r>
            <w:r>
              <w:rPr>
                <w:rFonts w:hint="eastAsia"/>
                <w:sz w:val="18"/>
                <w:szCs w:val="18"/>
              </w:rPr>
              <w:t>.</w:t>
            </w:r>
            <w:r>
              <w:rPr>
                <w:sz w:val="18"/>
                <w:szCs w:val="18"/>
              </w:rPr>
              <w:t>7</w:t>
            </w:r>
            <w:r>
              <w:rPr>
                <w:rFonts w:hint="eastAsia"/>
                <w:sz w:val="18"/>
                <w:szCs w:val="18"/>
              </w:rPr>
              <w:t>~</w:t>
            </w:r>
            <w:r>
              <w:rPr>
                <w:sz w:val="18"/>
                <w:szCs w:val="18"/>
              </w:rPr>
              <w:t>40</w:t>
            </w:r>
            <w:r>
              <w:rPr>
                <w:rFonts w:hint="eastAsia"/>
                <w:sz w:val="18"/>
                <w:szCs w:val="18"/>
              </w:rPr>
              <w:t>.</w:t>
            </w:r>
            <w:r>
              <w:rPr>
                <w:sz w:val="18"/>
                <w:szCs w:val="18"/>
              </w:rPr>
              <w:t>6</w:t>
            </w:r>
          </w:p>
        </w:tc>
        <w:tc>
          <w:tcPr>
            <w:tcW w:w="1276" w:type="dxa"/>
            <w:vAlign w:val="center"/>
          </w:tcPr>
          <w:p w14:paraId="693C7BAF">
            <w:pPr>
              <w:spacing w:line="260" w:lineRule="exact"/>
              <w:jc w:val="center"/>
              <w:rPr>
                <w:sz w:val="18"/>
                <w:szCs w:val="18"/>
              </w:rPr>
            </w:pPr>
            <w:r>
              <w:rPr>
                <w:sz w:val="18"/>
                <w:szCs w:val="18"/>
              </w:rPr>
              <w:t>24</w:t>
            </w:r>
          </w:p>
          <w:p w14:paraId="0396DE86">
            <w:pPr>
              <w:spacing w:line="260" w:lineRule="exact"/>
              <w:jc w:val="center"/>
              <w:rPr>
                <w:sz w:val="18"/>
                <w:szCs w:val="18"/>
              </w:rPr>
            </w:pPr>
            <w:r>
              <w:rPr>
                <w:sz w:val="18"/>
                <w:szCs w:val="18"/>
              </w:rPr>
              <w:t>20</w:t>
            </w:r>
            <w:r>
              <w:rPr>
                <w:rFonts w:hint="eastAsia"/>
                <w:sz w:val="18"/>
                <w:szCs w:val="18"/>
              </w:rPr>
              <w:t>~</w:t>
            </w:r>
            <w:r>
              <w:rPr>
                <w:sz w:val="18"/>
                <w:szCs w:val="18"/>
              </w:rPr>
              <w:t>34</w:t>
            </w:r>
          </w:p>
        </w:tc>
        <w:tc>
          <w:tcPr>
            <w:tcW w:w="1276" w:type="dxa"/>
            <w:vAlign w:val="center"/>
          </w:tcPr>
          <w:p w14:paraId="400ABFEF">
            <w:pPr>
              <w:spacing w:line="260" w:lineRule="exact"/>
              <w:jc w:val="center"/>
              <w:rPr>
                <w:sz w:val="18"/>
                <w:szCs w:val="18"/>
              </w:rPr>
            </w:pPr>
            <w:r>
              <w:rPr>
                <w:sz w:val="18"/>
                <w:szCs w:val="18"/>
              </w:rPr>
              <w:t>100</w:t>
            </w:r>
            <w:r>
              <w:rPr>
                <w:rFonts w:hint="eastAsia"/>
                <w:sz w:val="18"/>
                <w:szCs w:val="18"/>
              </w:rPr>
              <w:t>~1</w:t>
            </w:r>
            <w:r>
              <w:rPr>
                <w:sz w:val="18"/>
                <w:szCs w:val="18"/>
              </w:rPr>
              <w:t>3</w:t>
            </w:r>
            <w:r>
              <w:rPr>
                <w:rFonts w:hint="eastAsia"/>
                <w:sz w:val="18"/>
                <w:szCs w:val="18"/>
              </w:rPr>
              <w:t>0</w:t>
            </w:r>
          </w:p>
        </w:tc>
        <w:tc>
          <w:tcPr>
            <w:tcW w:w="1412" w:type="dxa"/>
            <w:vAlign w:val="center"/>
          </w:tcPr>
          <w:p w14:paraId="07CFC12B">
            <w:pPr>
              <w:spacing w:line="360" w:lineRule="auto"/>
              <w:ind w:firstLine="360" w:firstLineChars="200"/>
              <w:jc w:val="center"/>
              <w:rPr>
                <w:color w:val="000000"/>
                <w:sz w:val="18"/>
                <w:szCs w:val="18"/>
                <w:lang w:eastAsia="zh-CN"/>
              </w:rPr>
            </w:pPr>
            <m:oMathPara>
              <m:oMath>
                <m:f>
                  <w:bookmarkStart w:id="24" w:name="OLE_LINK36"/>
                  <m:fPr>
                    <m:ctrlPr>
                      <w:rPr>
                        <w:rFonts w:ascii="Cambria Math" w:hAnsi="Cambria Math"/>
                        <w:color w:val="000000"/>
                        <w:sz w:val="18"/>
                        <w:szCs w:val="18"/>
                      </w:rPr>
                    </m:ctrlPr>
                  </m:fPr>
                  <m:num>
                    <m:r>
                      <m:rPr>
                        <m:nor/>
                        <m:sty m:val="p"/>
                      </m:rPr>
                      <w:rPr>
                        <w:sz w:val="18"/>
                        <w:szCs w:val="18"/>
                      </w:rPr>
                      <m:t>100</m:t>
                    </m:r>
                    <m:r>
                      <m:rPr>
                        <m:nor/>
                        <m:sty m:val="p"/>
                      </m:rPr>
                      <w:rPr>
                        <w:sz w:val="18"/>
                        <w:szCs w:val="18"/>
                        <w:lang w:eastAsia="zh-CN"/>
                      </w:rPr>
                      <m:t>（</m:t>
                    </m:r>
                    <m:r>
                      <m:rPr>
                        <m:nor/>
                        <m:sty m:val="p"/>
                      </m:rPr>
                      <w:rPr>
                        <w:sz w:val="18"/>
                        <w:szCs w:val="18"/>
                      </w:rPr>
                      <m:t>75~122</m:t>
                    </m:r>
                    <m:r>
                      <m:rPr>
                        <m:nor/>
                        <m:sty m:val="p"/>
                      </m:rPr>
                      <w:rPr>
                        <w:sz w:val="18"/>
                        <w:szCs w:val="18"/>
                        <w:lang w:eastAsia="zh-CN"/>
                      </w:rPr>
                      <m:t>）</m:t>
                    </m:r>
                    <m:ctrlPr>
                      <w:rPr>
                        <w:rFonts w:ascii="Cambria Math" w:hAnsi="Cambria Math"/>
                        <w:color w:val="000000"/>
                        <w:sz w:val="18"/>
                        <w:szCs w:val="18"/>
                      </w:rPr>
                    </m:ctrlPr>
                  </m:num>
                  <m:den>
                    <m:r>
                      <m:rPr>
                        <m:nor/>
                        <m:sty m:val="p"/>
                      </m:rPr>
                      <w:rPr>
                        <w:sz w:val="18"/>
                        <w:szCs w:val="18"/>
                        <w:lang w:eastAsia="zh-CN"/>
                      </w:rPr>
                      <m:t>148（108</m:t>
                    </m:r>
                    <m:r>
                      <m:rPr>
                        <m:nor/>
                        <m:sty m:val="p"/>
                      </m:rPr>
                      <w:rPr>
                        <w:sz w:val="18"/>
                        <w:szCs w:val="18"/>
                      </w:rPr>
                      <m:t>~189</m:t>
                    </m:r>
                    <m:r>
                      <m:rPr>
                        <m:nor/>
                        <m:sty m:val="p"/>
                      </m:rPr>
                      <w:rPr>
                        <w:sz w:val="18"/>
                        <w:szCs w:val="18"/>
                        <w:lang w:eastAsia="zh-CN"/>
                      </w:rPr>
                      <m:t>）</m:t>
                    </m:r>
                    <m:ctrlPr>
                      <w:rPr>
                        <w:rFonts w:ascii="Cambria Math" w:hAnsi="Cambria Math"/>
                        <w:color w:val="000000"/>
                        <w:sz w:val="18"/>
                        <w:szCs w:val="18"/>
                      </w:rPr>
                    </m:ctrlPr>
                  </m:den>
                </m:f>
              </m:oMath>
            </m:oMathPara>
            <w:bookmarkEnd w:id="24"/>
          </w:p>
        </w:tc>
        <w:tc>
          <w:tcPr>
            <w:tcW w:w="1166" w:type="dxa"/>
            <w:vAlign w:val="center"/>
          </w:tcPr>
          <w:p w14:paraId="362967FC">
            <w:pPr>
              <w:spacing w:line="260" w:lineRule="exact"/>
              <w:jc w:val="center"/>
              <w:rPr>
                <w:sz w:val="18"/>
                <w:szCs w:val="18"/>
                <w:lang w:eastAsia="zh-CN"/>
              </w:rPr>
            </w:pPr>
            <w:bookmarkStart w:id="25" w:name="OLE_LINK18"/>
            <w:bookmarkStart w:id="26" w:name="OLE_LINK17"/>
            <w:r>
              <w:rPr>
                <w:rFonts w:hint="eastAsia"/>
                <w:sz w:val="18"/>
                <w:szCs w:val="18"/>
                <w:lang w:eastAsia="zh-CN" w:bidi="ar-SA"/>
              </w:rPr>
              <w:t>♂</w:t>
            </w:r>
            <w:r>
              <w:rPr>
                <w:sz w:val="18"/>
                <w:szCs w:val="18"/>
                <w:lang w:eastAsia="zh-CN"/>
              </w:rPr>
              <w:t>83</w:t>
            </w:r>
            <w:r>
              <w:rPr>
                <w:rFonts w:hint="eastAsia"/>
                <w:sz w:val="18"/>
                <w:szCs w:val="18"/>
              </w:rPr>
              <w:t>~</w:t>
            </w:r>
            <w:r>
              <w:rPr>
                <w:sz w:val="18"/>
                <w:szCs w:val="18"/>
                <w:lang w:eastAsia="zh-CN"/>
              </w:rPr>
              <w:t>125</w:t>
            </w:r>
          </w:p>
          <w:p w14:paraId="7F6BE1F4">
            <w:pPr>
              <w:spacing w:line="260" w:lineRule="exact"/>
              <w:jc w:val="center"/>
              <w:rPr>
                <w:sz w:val="18"/>
                <w:szCs w:val="18"/>
              </w:rPr>
            </w:pPr>
            <w:r>
              <w:rPr>
                <w:rFonts w:hint="eastAsia"/>
                <w:sz w:val="18"/>
                <w:szCs w:val="18"/>
                <w:lang w:eastAsia="zh-CN" w:bidi="ar-SA"/>
              </w:rPr>
              <w:t>♀</w:t>
            </w:r>
            <w:r>
              <w:rPr>
                <w:sz w:val="18"/>
                <w:szCs w:val="18"/>
                <w:lang w:eastAsia="zh-CN" w:bidi="ar-SA"/>
              </w:rPr>
              <w:t>82</w:t>
            </w:r>
            <w:r>
              <w:rPr>
                <w:rFonts w:hint="eastAsia"/>
                <w:sz w:val="18"/>
                <w:szCs w:val="18"/>
              </w:rPr>
              <w:t>~</w:t>
            </w:r>
            <w:r>
              <w:rPr>
                <w:sz w:val="18"/>
                <w:szCs w:val="18"/>
                <w:lang w:eastAsia="zh-CN"/>
              </w:rPr>
              <w:t>128</w:t>
            </w:r>
            <w:bookmarkEnd w:id="25"/>
            <w:bookmarkEnd w:id="26"/>
          </w:p>
        </w:tc>
      </w:tr>
      <w:tr w14:paraId="1A8B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578E8E61">
            <w:pPr>
              <w:spacing w:line="360" w:lineRule="auto"/>
              <w:jc w:val="center"/>
              <w:rPr>
                <w:sz w:val="18"/>
                <w:szCs w:val="18"/>
              </w:rPr>
            </w:pPr>
            <w:r>
              <w:rPr>
                <w:rFonts w:hint="eastAsia"/>
                <w:sz w:val="18"/>
                <w:szCs w:val="18"/>
              </w:rPr>
              <w:t>猫</w:t>
            </w:r>
          </w:p>
        </w:tc>
        <w:tc>
          <w:tcPr>
            <w:tcW w:w="1275" w:type="dxa"/>
            <w:vAlign w:val="center"/>
          </w:tcPr>
          <w:p w14:paraId="72EBC671">
            <w:pPr>
              <w:widowControl w:val="0"/>
              <w:jc w:val="center"/>
              <w:rPr>
                <w:sz w:val="18"/>
                <w:szCs w:val="18"/>
                <w:lang w:eastAsia="zh-CN" w:bidi="ar-SA"/>
              </w:rPr>
            </w:pPr>
            <w:r>
              <w:rPr>
                <w:rFonts w:hint="eastAsia"/>
                <w:sz w:val="18"/>
                <w:szCs w:val="18"/>
                <w:lang w:eastAsia="zh-CN" w:bidi="ar-SA"/>
              </w:rPr>
              <w:t>3.3</w:t>
            </w:r>
            <w:r>
              <w:rPr>
                <w:rFonts w:hint="eastAsia"/>
                <w:sz w:val="18"/>
                <w:szCs w:val="18"/>
                <w:lang w:val="en-US" w:eastAsia="zh-CN" w:bidi="ar-SA"/>
              </w:rPr>
              <w:t xml:space="preserve"> </w:t>
            </w:r>
            <w:r>
              <w:rPr>
                <w:rFonts w:hint="eastAsia"/>
                <w:sz w:val="18"/>
                <w:szCs w:val="18"/>
                <w:lang w:eastAsia="zh-CN" w:bidi="ar-SA"/>
              </w:rPr>
              <w:t>kg</w:t>
            </w:r>
          </w:p>
        </w:tc>
        <w:tc>
          <w:tcPr>
            <w:tcW w:w="1276" w:type="dxa"/>
            <w:vAlign w:val="center"/>
          </w:tcPr>
          <w:p w14:paraId="1F70D6D7">
            <w:pPr>
              <w:spacing w:line="260" w:lineRule="exact"/>
              <w:jc w:val="center"/>
              <w:rPr>
                <w:sz w:val="18"/>
                <w:szCs w:val="18"/>
              </w:rPr>
            </w:pPr>
            <w:r>
              <w:rPr>
                <w:sz w:val="18"/>
                <w:szCs w:val="18"/>
              </w:rPr>
              <w:t>38.6</w:t>
            </w:r>
          </w:p>
          <w:p w14:paraId="61FD3EB6">
            <w:pPr>
              <w:spacing w:line="260" w:lineRule="exact"/>
              <w:jc w:val="center"/>
              <w:rPr>
                <w:sz w:val="18"/>
                <w:szCs w:val="18"/>
              </w:rPr>
            </w:pPr>
            <w:r>
              <w:rPr>
                <w:rFonts w:hint="eastAsia"/>
                <w:sz w:val="18"/>
                <w:szCs w:val="18"/>
              </w:rPr>
              <w:t>3</w:t>
            </w:r>
            <w:r>
              <w:rPr>
                <w:sz w:val="18"/>
                <w:szCs w:val="18"/>
              </w:rPr>
              <w:t>7</w:t>
            </w:r>
            <w:r>
              <w:rPr>
                <w:rFonts w:hint="eastAsia"/>
                <w:sz w:val="18"/>
                <w:szCs w:val="18"/>
              </w:rPr>
              <w:t>.</w:t>
            </w:r>
            <w:r>
              <w:rPr>
                <w:sz w:val="18"/>
                <w:szCs w:val="18"/>
              </w:rPr>
              <w:t>2</w:t>
            </w:r>
            <w:r>
              <w:rPr>
                <w:rFonts w:hint="eastAsia"/>
                <w:sz w:val="18"/>
                <w:szCs w:val="18"/>
              </w:rPr>
              <w:t>~39.</w:t>
            </w:r>
            <w:r>
              <w:rPr>
                <w:sz w:val="18"/>
                <w:szCs w:val="18"/>
              </w:rPr>
              <w:t>9</w:t>
            </w:r>
          </w:p>
        </w:tc>
        <w:tc>
          <w:tcPr>
            <w:tcW w:w="1276" w:type="dxa"/>
            <w:vAlign w:val="center"/>
          </w:tcPr>
          <w:p w14:paraId="2BC0A80E">
            <w:pPr>
              <w:spacing w:line="260" w:lineRule="exact"/>
              <w:jc w:val="center"/>
              <w:rPr>
                <w:sz w:val="18"/>
                <w:szCs w:val="18"/>
              </w:rPr>
            </w:pPr>
            <w:r>
              <w:rPr>
                <w:sz w:val="18"/>
                <w:szCs w:val="18"/>
              </w:rPr>
              <w:t>31</w:t>
            </w:r>
          </w:p>
          <w:p w14:paraId="0C0B8271">
            <w:pPr>
              <w:spacing w:line="260" w:lineRule="exact"/>
              <w:jc w:val="center"/>
              <w:rPr>
                <w:sz w:val="18"/>
                <w:szCs w:val="18"/>
              </w:rPr>
            </w:pPr>
            <w:r>
              <w:rPr>
                <w:sz w:val="18"/>
                <w:szCs w:val="18"/>
              </w:rPr>
              <w:t>20</w:t>
            </w:r>
            <w:r>
              <w:rPr>
                <w:rFonts w:hint="eastAsia"/>
                <w:sz w:val="18"/>
                <w:szCs w:val="18"/>
              </w:rPr>
              <w:t>~</w:t>
            </w:r>
            <w:r>
              <w:rPr>
                <w:sz w:val="18"/>
                <w:szCs w:val="18"/>
              </w:rPr>
              <w:t>40</w:t>
            </w:r>
          </w:p>
        </w:tc>
        <w:tc>
          <w:tcPr>
            <w:tcW w:w="1276" w:type="dxa"/>
            <w:vAlign w:val="center"/>
          </w:tcPr>
          <w:p w14:paraId="070AFECD">
            <w:pPr>
              <w:spacing w:line="260" w:lineRule="exact"/>
              <w:jc w:val="center"/>
              <w:rPr>
                <w:sz w:val="18"/>
                <w:szCs w:val="18"/>
              </w:rPr>
            </w:pPr>
            <w:r>
              <w:rPr>
                <w:rFonts w:hint="eastAsia"/>
                <w:sz w:val="18"/>
                <w:szCs w:val="18"/>
              </w:rPr>
              <w:t>1</w:t>
            </w:r>
            <w:r>
              <w:rPr>
                <w:sz w:val="18"/>
                <w:szCs w:val="18"/>
              </w:rPr>
              <w:t>1</w:t>
            </w:r>
            <w:r>
              <w:rPr>
                <w:rFonts w:hint="eastAsia"/>
                <w:sz w:val="18"/>
                <w:szCs w:val="18"/>
              </w:rPr>
              <w:t>0~140</w:t>
            </w:r>
          </w:p>
        </w:tc>
        <w:tc>
          <w:tcPr>
            <w:tcW w:w="1412" w:type="dxa"/>
            <w:vAlign w:val="center"/>
          </w:tcPr>
          <w:p w14:paraId="3F7CB642">
            <w:pPr>
              <w:spacing w:line="360" w:lineRule="auto"/>
              <w:ind w:firstLine="360" w:firstLineChars="200"/>
              <w:jc w:val="center"/>
              <w:rPr>
                <w:color w:val="000000"/>
                <w:sz w:val="18"/>
                <w:szCs w:val="18"/>
                <w:lang w:eastAsia="zh-CN"/>
              </w:rPr>
            </w:pPr>
            <m:oMathPara>
              <m:oMath>
                <m:f>
                  <m:fPr>
                    <m:ctrlPr>
                      <w:rPr>
                        <w:rFonts w:ascii="Cambria Math" w:hAnsi="Cambria Math"/>
                        <w:color w:val="000000"/>
                        <w:sz w:val="18"/>
                        <w:szCs w:val="18"/>
                      </w:rPr>
                    </m:ctrlPr>
                  </m:fPr>
                  <m:num>
                    <m:r>
                      <m:rPr>
                        <m:nor/>
                        <m:sty m:val="p"/>
                      </m:rPr>
                      <w:rPr>
                        <w:sz w:val="18"/>
                        <w:szCs w:val="18"/>
                      </w:rPr>
                      <m:t>100</m:t>
                    </m:r>
                    <m:ctrlPr>
                      <w:rPr>
                        <w:rFonts w:ascii="Cambria Math" w:hAnsi="Cambria Math"/>
                        <w:color w:val="000000"/>
                        <w:sz w:val="18"/>
                        <w:szCs w:val="18"/>
                      </w:rPr>
                    </m:ctrlPr>
                  </m:num>
                  <m:den>
                    <m:r>
                      <m:rPr>
                        <m:nor/>
                        <m:sty m:val="p"/>
                      </m:rPr>
                      <w:rPr>
                        <w:sz w:val="18"/>
                        <w:szCs w:val="18"/>
                        <w:lang w:eastAsia="zh-CN"/>
                      </w:rPr>
                      <m:t>155</m:t>
                    </m:r>
                    <m:ctrlPr>
                      <w:rPr>
                        <w:rFonts w:ascii="Cambria Math" w:hAnsi="Cambria Math"/>
                        <w:color w:val="000000"/>
                        <w:sz w:val="18"/>
                        <w:szCs w:val="18"/>
                      </w:rPr>
                    </m:ctrlPr>
                  </m:den>
                </m:f>
              </m:oMath>
            </m:oMathPara>
          </w:p>
        </w:tc>
        <w:tc>
          <w:tcPr>
            <w:tcW w:w="1166" w:type="dxa"/>
            <w:vAlign w:val="center"/>
          </w:tcPr>
          <w:p w14:paraId="4E9FF429">
            <w:pPr>
              <w:spacing w:line="260" w:lineRule="exact"/>
              <w:jc w:val="center"/>
              <w:rPr>
                <w:sz w:val="18"/>
                <w:szCs w:val="18"/>
                <w:lang w:eastAsia="zh-CN"/>
              </w:rPr>
            </w:pPr>
            <w:r>
              <w:rPr>
                <w:rFonts w:hint="eastAsia"/>
                <w:sz w:val="18"/>
                <w:szCs w:val="18"/>
                <w:lang w:eastAsia="zh-CN" w:bidi="ar-SA"/>
              </w:rPr>
              <w:t>♂</w:t>
            </w:r>
            <w:r>
              <w:rPr>
                <w:sz w:val="18"/>
                <w:szCs w:val="18"/>
                <w:lang w:eastAsia="zh-CN"/>
              </w:rPr>
              <w:t>120</w:t>
            </w:r>
            <w:r>
              <w:rPr>
                <w:rFonts w:hint="eastAsia"/>
                <w:sz w:val="18"/>
                <w:szCs w:val="18"/>
                <w:lang w:eastAsia="zh-CN"/>
              </w:rPr>
              <w:t>±</w:t>
            </w:r>
            <w:r>
              <w:rPr>
                <w:sz w:val="18"/>
                <w:szCs w:val="18"/>
                <w:lang w:eastAsia="zh-CN"/>
              </w:rPr>
              <w:t>14</w:t>
            </w:r>
          </w:p>
          <w:p w14:paraId="69167B2D">
            <w:pPr>
              <w:spacing w:line="260" w:lineRule="exact"/>
              <w:jc w:val="center"/>
              <w:rPr>
                <w:sz w:val="18"/>
                <w:szCs w:val="18"/>
                <w:lang w:eastAsia="zh-CN"/>
              </w:rPr>
            </w:pPr>
            <w:r>
              <w:rPr>
                <w:rFonts w:hint="eastAsia"/>
                <w:sz w:val="18"/>
                <w:szCs w:val="18"/>
                <w:lang w:eastAsia="zh-CN" w:bidi="ar-SA"/>
              </w:rPr>
              <w:t>♀</w:t>
            </w:r>
            <w:r>
              <w:rPr>
                <w:sz w:val="18"/>
                <w:szCs w:val="18"/>
                <w:lang w:eastAsia="zh-CN" w:bidi="ar-SA"/>
              </w:rPr>
              <w:t>114</w:t>
            </w:r>
            <w:r>
              <w:rPr>
                <w:rFonts w:hint="eastAsia"/>
                <w:sz w:val="18"/>
                <w:szCs w:val="18"/>
                <w:lang w:eastAsia="zh-CN"/>
              </w:rPr>
              <w:t>±</w:t>
            </w:r>
            <w:r>
              <w:rPr>
                <w:sz w:val="18"/>
                <w:szCs w:val="18"/>
                <w:lang w:eastAsia="zh-CN"/>
              </w:rPr>
              <w:t>15</w:t>
            </w:r>
          </w:p>
        </w:tc>
      </w:tr>
      <w:tr w14:paraId="014B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Align w:val="center"/>
          </w:tcPr>
          <w:p w14:paraId="0755D7A6">
            <w:pPr>
              <w:spacing w:line="360" w:lineRule="auto"/>
              <w:jc w:val="center"/>
              <w:rPr>
                <w:sz w:val="18"/>
                <w:szCs w:val="18"/>
              </w:rPr>
            </w:pPr>
            <w:r>
              <w:rPr>
                <w:rFonts w:hint="eastAsia"/>
                <w:sz w:val="18"/>
                <w:szCs w:val="18"/>
              </w:rPr>
              <w:t>猕猴</w:t>
            </w:r>
          </w:p>
        </w:tc>
        <w:tc>
          <w:tcPr>
            <w:tcW w:w="1275" w:type="dxa"/>
            <w:vAlign w:val="center"/>
          </w:tcPr>
          <w:p w14:paraId="007715AD">
            <w:pPr>
              <w:widowControl w:val="0"/>
              <w:jc w:val="center"/>
              <w:rPr>
                <w:sz w:val="18"/>
                <w:szCs w:val="18"/>
                <w:lang w:eastAsia="zh-CN" w:bidi="ar-SA"/>
              </w:rPr>
            </w:pPr>
            <w:r>
              <w:rPr>
                <w:rFonts w:hint="eastAsia"/>
                <w:sz w:val="18"/>
                <w:szCs w:val="18"/>
                <w:lang w:eastAsia="zh-CN" w:bidi="ar-SA"/>
              </w:rPr>
              <w:t>♂3.3</w:t>
            </w:r>
            <w:r>
              <w:rPr>
                <w:rFonts w:hint="eastAsia"/>
                <w:sz w:val="18"/>
                <w:szCs w:val="18"/>
                <w:lang w:val="en-US" w:eastAsia="zh-CN" w:bidi="ar-SA"/>
              </w:rPr>
              <w:t xml:space="preserve"> </w:t>
            </w:r>
            <w:r>
              <w:rPr>
                <w:rFonts w:hint="eastAsia"/>
                <w:sz w:val="18"/>
                <w:szCs w:val="18"/>
                <w:lang w:eastAsia="zh-CN" w:bidi="ar-SA"/>
              </w:rPr>
              <w:t>kg</w:t>
            </w:r>
          </w:p>
          <w:p w14:paraId="21A799A6">
            <w:pPr>
              <w:widowControl w:val="0"/>
              <w:jc w:val="center"/>
              <w:rPr>
                <w:sz w:val="18"/>
                <w:szCs w:val="18"/>
                <w:lang w:eastAsia="zh-CN" w:bidi="ar-SA"/>
              </w:rPr>
            </w:pPr>
            <w:r>
              <w:rPr>
                <w:rFonts w:hint="eastAsia"/>
                <w:sz w:val="18"/>
                <w:szCs w:val="18"/>
                <w:lang w:eastAsia="zh-CN" w:bidi="ar-SA"/>
              </w:rPr>
              <w:t>♀3.6</w:t>
            </w:r>
            <w:r>
              <w:rPr>
                <w:rFonts w:hint="eastAsia"/>
                <w:sz w:val="18"/>
                <w:szCs w:val="18"/>
                <w:lang w:val="en-US" w:eastAsia="zh-CN" w:bidi="ar-SA"/>
              </w:rPr>
              <w:t xml:space="preserve"> </w:t>
            </w:r>
            <w:r>
              <w:rPr>
                <w:rFonts w:hint="eastAsia"/>
                <w:sz w:val="18"/>
                <w:szCs w:val="18"/>
                <w:lang w:eastAsia="zh-CN" w:bidi="ar-SA"/>
              </w:rPr>
              <w:t>kg</w:t>
            </w:r>
          </w:p>
        </w:tc>
        <w:tc>
          <w:tcPr>
            <w:tcW w:w="1276" w:type="dxa"/>
            <w:vAlign w:val="center"/>
          </w:tcPr>
          <w:p w14:paraId="5665919D">
            <w:pPr>
              <w:spacing w:line="260" w:lineRule="exact"/>
              <w:jc w:val="center"/>
              <w:rPr>
                <w:sz w:val="18"/>
                <w:szCs w:val="18"/>
                <w:lang w:eastAsia="zh-CN"/>
              </w:rPr>
            </w:pPr>
            <w:r>
              <w:rPr>
                <w:rFonts w:hint="eastAsia"/>
                <w:sz w:val="18"/>
                <w:szCs w:val="18"/>
                <w:lang w:eastAsia="zh-CN"/>
              </w:rPr>
              <w:t>3</w:t>
            </w:r>
            <w:r>
              <w:rPr>
                <w:sz w:val="18"/>
                <w:szCs w:val="18"/>
                <w:lang w:eastAsia="zh-CN"/>
              </w:rPr>
              <w:t>8.8</w:t>
            </w:r>
          </w:p>
          <w:p w14:paraId="465FB543">
            <w:pPr>
              <w:spacing w:line="260" w:lineRule="exact"/>
              <w:jc w:val="center"/>
              <w:rPr>
                <w:sz w:val="18"/>
                <w:szCs w:val="18"/>
              </w:rPr>
            </w:pPr>
            <w:r>
              <w:rPr>
                <w:rFonts w:hint="eastAsia"/>
                <w:sz w:val="18"/>
                <w:szCs w:val="18"/>
              </w:rPr>
              <w:t>37</w:t>
            </w:r>
            <w:r>
              <w:rPr>
                <w:sz w:val="18"/>
                <w:szCs w:val="18"/>
              </w:rPr>
              <w:t>.2</w:t>
            </w:r>
            <w:r>
              <w:rPr>
                <w:rFonts w:hint="eastAsia"/>
                <w:sz w:val="18"/>
                <w:szCs w:val="18"/>
              </w:rPr>
              <w:t>~40</w:t>
            </w:r>
            <w:r>
              <w:rPr>
                <w:sz w:val="18"/>
                <w:szCs w:val="18"/>
              </w:rPr>
              <w:t>.2</w:t>
            </w:r>
          </w:p>
        </w:tc>
        <w:tc>
          <w:tcPr>
            <w:tcW w:w="1276" w:type="dxa"/>
            <w:vAlign w:val="center"/>
          </w:tcPr>
          <w:p w14:paraId="0196982D">
            <w:pPr>
              <w:spacing w:line="260" w:lineRule="exact"/>
              <w:jc w:val="center"/>
              <w:rPr>
                <w:sz w:val="18"/>
                <w:szCs w:val="18"/>
              </w:rPr>
            </w:pPr>
            <w:r>
              <w:rPr>
                <w:sz w:val="18"/>
                <w:szCs w:val="18"/>
              </w:rPr>
              <w:t>40</w:t>
            </w:r>
          </w:p>
          <w:p w14:paraId="6715722A">
            <w:pPr>
              <w:spacing w:line="260" w:lineRule="exact"/>
              <w:jc w:val="center"/>
              <w:rPr>
                <w:sz w:val="18"/>
                <w:szCs w:val="18"/>
              </w:rPr>
            </w:pPr>
            <w:r>
              <w:rPr>
                <w:sz w:val="18"/>
                <w:szCs w:val="18"/>
              </w:rPr>
              <w:t xml:space="preserve">32 </w:t>
            </w:r>
            <w:r>
              <w:rPr>
                <w:rFonts w:hint="eastAsia"/>
                <w:sz w:val="18"/>
                <w:szCs w:val="18"/>
              </w:rPr>
              <w:t>~</w:t>
            </w:r>
            <w:r>
              <w:rPr>
                <w:sz w:val="18"/>
                <w:szCs w:val="18"/>
              </w:rPr>
              <w:t>50</w:t>
            </w:r>
          </w:p>
        </w:tc>
        <w:tc>
          <w:tcPr>
            <w:tcW w:w="1276" w:type="dxa"/>
            <w:vAlign w:val="center"/>
          </w:tcPr>
          <w:p w14:paraId="0890AEF1">
            <w:pPr>
              <w:spacing w:line="260" w:lineRule="exact"/>
              <w:jc w:val="center"/>
              <w:rPr>
                <w:sz w:val="18"/>
                <w:szCs w:val="18"/>
              </w:rPr>
            </w:pPr>
            <w:r>
              <w:rPr>
                <w:rFonts w:hint="eastAsia"/>
                <w:sz w:val="18"/>
                <w:szCs w:val="18"/>
              </w:rPr>
              <w:t>1</w:t>
            </w:r>
            <w:r>
              <w:rPr>
                <w:sz w:val="18"/>
                <w:szCs w:val="18"/>
              </w:rPr>
              <w:t>6</w:t>
            </w:r>
            <w:r>
              <w:rPr>
                <w:rFonts w:hint="eastAsia"/>
                <w:sz w:val="18"/>
                <w:szCs w:val="18"/>
              </w:rPr>
              <w:t>5~2</w:t>
            </w:r>
            <w:r>
              <w:rPr>
                <w:sz w:val="18"/>
                <w:szCs w:val="18"/>
              </w:rPr>
              <w:t>40</w:t>
            </w:r>
          </w:p>
        </w:tc>
        <w:tc>
          <w:tcPr>
            <w:tcW w:w="1412" w:type="dxa"/>
            <w:vAlign w:val="center"/>
          </w:tcPr>
          <w:p w14:paraId="0EA79B8C">
            <w:pPr>
              <w:spacing w:line="360" w:lineRule="auto"/>
              <w:ind w:firstLine="360" w:firstLineChars="200"/>
              <w:jc w:val="center"/>
              <w:rPr>
                <w:color w:val="000000"/>
                <w:sz w:val="18"/>
                <w:szCs w:val="18"/>
                <w:lang w:eastAsia="zh-CN"/>
              </w:rPr>
            </w:pPr>
            <m:oMathPara>
              <m:oMath>
                <m:f>
                  <m:fPr>
                    <m:ctrlPr>
                      <w:rPr>
                        <w:rFonts w:ascii="Cambria Math" w:hAnsi="Cambria Math"/>
                        <w:color w:val="000000"/>
                        <w:sz w:val="18"/>
                        <w:szCs w:val="18"/>
                      </w:rPr>
                    </m:ctrlPr>
                  </m:fPr>
                  <m:num>
                    <m:r>
                      <m:rPr>
                        <m:nor/>
                        <m:sty m:val="p"/>
                      </m:rPr>
                      <w:rPr>
                        <w:sz w:val="18"/>
                        <w:szCs w:val="18"/>
                      </w:rPr>
                      <m:t>84</m:t>
                    </m:r>
                    <m:ctrlPr>
                      <w:rPr>
                        <w:rFonts w:ascii="Cambria Math" w:hAnsi="Cambria Math"/>
                        <w:color w:val="000000"/>
                        <w:sz w:val="18"/>
                        <w:szCs w:val="18"/>
                      </w:rPr>
                    </m:ctrlPr>
                  </m:num>
                  <m:den>
                    <m:r>
                      <m:rPr>
                        <m:nor/>
                        <m:sty m:val="p"/>
                      </m:rPr>
                      <w:rPr>
                        <w:sz w:val="18"/>
                        <w:szCs w:val="18"/>
                        <w:lang w:eastAsia="zh-CN"/>
                      </w:rPr>
                      <m:t>120</m:t>
                    </m:r>
                    <m:ctrlPr>
                      <w:rPr>
                        <w:rFonts w:ascii="Cambria Math" w:hAnsi="Cambria Math"/>
                        <w:color w:val="000000"/>
                        <w:sz w:val="18"/>
                        <w:szCs w:val="18"/>
                      </w:rPr>
                    </m:ctrlPr>
                  </m:den>
                </m:f>
              </m:oMath>
            </m:oMathPara>
          </w:p>
        </w:tc>
        <w:tc>
          <w:tcPr>
            <w:tcW w:w="1166" w:type="dxa"/>
            <w:vAlign w:val="center"/>
          </w:tcPr>
          <w:p w14:paraId="60E472A2">
            <w:pPr>
              <w:spacing w:line="260" w:lineRule="exact"/>
              <w:jc w:val="center"/>
              <w:rPr>
                <w:sz w:val="18"/>
                <w:szCs w:val="18"/>
                <w:lang w:eastAsia="zh-CN" w:bidi="ar-SA"/>
              </w:rPr>
            </w:pPr>
            <w:r>
              <w:rPr>
                <w:rFonts w:hint="eastAsia"/>
                <w:sz w:val="18"/>
                <w:szCs w:val="18"/>
                <w:lang w:eastAsia="zh-CN" w:bidi="ar-SA"/>
              </w:rPr>
              <w:t>♂</w:t>
            </w:r>
            <w:r>
              <w:rPr>
                <w:sz w:val="18"/>
                <w:szCs w:val="18"/>
                <w:lang w:eastAsia="zh-CN" w:bidi="ar-SA"/>
              </w:rPr>
              <w:t>98</w:t>
            </w:r>
            <w:r>
              <w:rPr>
                <w:rFonts w:hint="eastAsia"/>
                <w:sz w:val="18"/>
                <w:szCs w:val="18"/>
                <w:lang w:eastAsia="zh-CN"/>
              </w:rPr>
              <w:t>±2</w:t>
            </w:r>
            <w:r>
              <w:rPr>
                <w:sz w:val="18"/>
                <w:szCs w:val="18"/>
                <w:lang w:eastAsia="zh-CN"/>
              </w:rPr>
              <w:t>4.5</w:t>
            </w:r>
          </w:p>
          <w:p w14:paraId="628B52DA">
            <w:pPr>
              <w:spacing w:line="260" w:lineRule="exact"/>
              <w:jc w:val="center"/>
              <w:rPr>
                <w:sz w:val="18"/>
                <w:szCs w:val="18"/>
              </w:rPr>
            </w:pPr>
            <w:r>
              <w:rPr>
                <w:rFonts w:hint="eastAsia"/>
                <w:sz w:val="18"/>
                <w:szCs w:val="18"/>
                <w:lang w:eastAsia="zh-CN" w:bidi="ar-SA"/>
              </w:rPr>
              <w:t>♀</w:t>
            </w:r>
            <w:r>
              <w:rPr>
                <w:sz w:val="18"/>
                <w:szCs w:val="18"/>
                <w:lang w:eastAsia="zh-CN" w:bidi="ar-SA"/>
              </w:rPr>
              <w:t>100</w:t>
            </w:r>
            <w:r>
              <w:rPr>
                <w:rFonts w:hint="eastAsia"/>
                <w:sz w:val="18"/>
                <w:szCs w:val="18"/>
                <w:lang w:eastAsia="zh-CN"/>
              </w:rPr>
              <w:t>±2</w:t>
            </w:r>
            <w:r>
              <w:rPr>
                <w:sz w:val="18"/>
                <w:szCs w:val="18"/>
                <w:lang w:eastAsia="zh-CN"/>
              </w:rPr>
              <w:t>5.8</w:t>
            </w:r>
          </w:p>
        </w:tc>
      </w:tr>
    </w:tbl>
    <w:p w14:paraId="72B63018">
      <w:pPr>
        <w:spacing w:line="360" w:lineRule="auto"/>
        <w:ind w:firstLine="360" w:firstLineChars="200"/>
        <w:rPr>
          <w:rFonts w:ascii="宋体" w:hAnsi="宋体"/>
          <w:color w:val="000000"/>
          <w:sz w:val="18"/>
          <w:szCs w:val="18"/>
          <w:lang w:eastAsia="zh-CN"/>
        </w:rPr>
      </w:pPr>
      <w:bookmarkStart w:id="27" w:name="OLE_LINK35"/>
      <w:bookmarkStart w:id="28" w:name="OLE_LINK34"/>
      <w:r>
        <w:rPr>
          <w:rFonts w:hint="eastAsia" w:ascii="宋体" w:hAnsi="宋体"/>
          <w:color w:val="000000"/>
          <w:sz w:val="18"/>
          <w:szCs w:val="18"/>
          <w:lang w:eastAsia="zh-CN"/>
        </w:rPr>
        <w:t>体重数据主要摘自小山等：实</w:t>
      </w:r>
      <w:bookmarkStart w:id="29" w:name="OLE_LINK29"/>
      <w:r>
        <w:rPr>
          <w:rFonts w:hint="eastAsia" w:ascii="宋体" w:hAnsi="宋体"/>
          <w:color w:val="000000"/>
          <w:sz w:val="18"/>
          <w:szCs w:val="18"/>
          <w:lang w:eastAsia="zh-CN"/>
        </w:rPr>
        <w:t>验动物饲育管理的实际</w:t>
      </w:r>
      <w:bookmarkEnd w:id="29"/>
      <w:r>
        <w:rPr>
          <w:color w:val="000000"/>
          <w:sz w:val="18"/>
          <w:szCs w:val="18"/>
          <w:lang w:eastAsia="zh-CN"/>
        </w:rPr>
        <w:t>（1963）</w:t>
      </w:r>
      <w:bookmarkEnd w:id="27"/>
      <w:bookmarkEnd w:id="28"/>
      <w:r>
        <w:rPr>
          <w:rFonts w:hint="eastAsia" w:ascii="宋体" w:hAnsi="宋体"/>
          <w:color w:val="000000"/>
          <w:sz w:val="18"/>
          <w:szCs w:val="18"/>
          <w:lang w:eastAsia="zh-CN"/>
        </w:rPr>
        <w:t>，其他数据摘自</w:t>
      </w:r>
      <w:bookmarkStart w:id="30" w:name="OLE_LINK31"/>
      <w:bookmarkStart w:id="31" w:name="OLE_LINK30"/>
      <w:r>
        <w:rPr>
          <w:rFonts w:hint="eastAsia" w:ascii="宋体" w:hAnsi="宋体"/>
          <w:color w:val="000000"/>
          <w:sz w:val="18"/>
          <w:szCs w:val="18"/>
          <w:lang w:eastAsia="zh-CN"/>
        </w:rPr>
        <w:t>田嶋嘉雄</w:t>
      </w:r>
      <w:bookmarkEnd w:id="30"/>
      <w:bookmarkEnd w:id="31"/>
      <w:r>
        <w:rPr>
          <w:rFonts w:hint="eastAsia" w:ascii="宋体" w:hAnsi="宋体"/>
          <w:color w:val="000000"/>
          <w:sz w:val="18"/>
          <w:szCs w:val="18"/>
          <w:lang w:eastAsia="zh-CN"/>
        </w:rPr>
        <w:t>：实验动物的生物学特性资料</w:t>
      </w:r>
      <w:r>
        <w:rPr>
          <w:color w:val="000000"/>
          <w:sz w:val="18"/>
          <w:szCs w:val="18"/>
          <w:lang w:eastAsia="zh-CN"/>
        </w:rPr>
        <w:t>（1989）</w:t>
      </w:r>
      <w:r>
        <w:rPr>
          <w:rFonts w:hint="eastAsia" w:ascii="宋体" w:hAnsi="宋体"/>
          <w:color w:val="000000"/>
          <w:sz w:val="18"/>
          <w:szCs w:val="18"/>
          <w:lang w:eastAsia="zh-CN"/>
        </w:rPr>
        <w:t>。以上为正常实验动物的生理指标，在实际应用中请注意疾病动物模型的生理数据可能会因代谢等异常出现偏差。</w:t>
      </w:r>
    </w:p>
    <w:p w14:paraId="11417B2C">
      <w:pPr>
        <w:spacing w:line="360" w:lineRule="auto"/>
        <w:ind w:firstLine="360" w:firstLineChars="200"/>
        <w:rPr>
          <w:rFonts w:ascii="宋体" w:hAnsi="宋体"/>
          <w:color w:val="000000"/>
          <w:sz w:val="18"/>
          <w:szCs w:val="18"/>
          <w:lang w:eastAsia="zh-CN"/>
        </w:rPr>
      </w:pPr>
    </w:p>
    <w:p w14:paraId="5107817E">
      <w:pPr>
        <w:spacing w:line="360" w:lineRule="auto"/>
        <w:ind w:firstLine="420" w:firstLineChars="200"/>
        <w:jc w:val="center"/>
        <w:rPr>
          <w:rFonts w:ascii="宋体" w:hAnsi="宋体"/>
          <w:color w:val="000000"/>
          <w:sz w:val="21"/>
          <w:lang w:eastAsia="zh-CN"/>
        </w:rPr>
      </w:pPr>
      <w:r>
        <w:rPr>
          <w:rFonts w:hint="eastAsia" w:ascii="宋体" w:hAnsi="宋体"/>
          <w:b/>
          <w:bCs/>
          <w:color w:val="000000"/>
          <w:sz w:val="21"/>
          <w:lang w:eastAsia="zh-CN"/>
        </w:rPr>
        <w:t>-------------------------</w:t>
      </w:r>
    </w:p>
    <w:p w14:paraId="39D3A65D">
      <w:pPr>
        <w:spacing w:line="360" w:lineRule="auto"/>
        <w:ind w:firstLine="420" w:firstLineChars="200"/>
        <w:rPr>
          <w:rFonts w:ascii="宋体" w:hAnsi="宋体"/>
          <w:color w:val="000000"/>
          <w:sz w:val="21"/>
          <w:lang w:eastAsia="zh-CN"/>
        </w:rPr>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1F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5D5F9">
    <w:pPr>
      <w:pStyle w:val="16"/>
      <w:ind w:right="360"/>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3C879CE5">
                          <w:pPr>
                            <w:pStyle w:val="16"/>
                            <w:rPr>
                              <w:rStyle w:val="24"/>
                            </w:rPr>
                          </w:pPr>
                          <w:r>
                            <w:fldChar w:fldCharType="begin"/>
                          </w:r>
                          <w:r>
                            <w:rPr>
                              <w:rStyle w:val="24"/>
                            </w:rPr>
                            <w:instrText xml:space="preserve">PAGE  </w:instrText>
                          </w:r>
                          <w:r>
                            <w:fldChar w:fldCharType="separate"/>
                          </w:r>
                          <w:r>
                            <w:rPr>
                              <w:rStyle w:val="24"/>
                            </w:rPr>
                            <w:t>7</w:t>
                          </w:r>
                          <w:r>
                            <w:fldChar w:fldCharType="end"/>
                          </w:r>
                        </w:p>
                      </w:txbxContent>
                    </wps:txbx>
                    <wps:bodyPr rot="0" vert="horz" wrap="none" lIns="0" tIns="0" rIns="0" bIns="0" anchor="t" anchorCtr="0" upright="1">
                      <a:spAutoFit/>
                    </wps:bodyPr>
                  </wps:wsp>
                </a:graphicData>
              </a:graphic>
            </wp:anchor>
          </w:drawing>
        </mc:Choice>
        <mc:Fallback>
          <w:pict>
            <v:shape id="文本框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IxULggKAgAAAAQAAA4AAABkcnMvZTJvRG9jLnhtbK1TS27bMBDdF+gd&#10;CO5r2W7cBILlII3hokD6AdIcgKYoi6jIIYa0JfcA7Q26yqb7nsvn6JCynDTdZNENMSSHb957M5xf&#10;dqZhO4Vegy34ZDTmTFkJpbabgt99Wb264MwHYUvRgFUF3yvPLxcvX8xbl6sp1NCUChmBWJ+3ruB1&#10;CC7PMi9rZYQfgVOWLitAIwJtcZOVKFpCN002HY/fZC1g6RCk8p5Ol/0lPyLicwChqrRUS5Bbo2zo&#10;UVE1IpAkX2vn+SKxrSolw6eq8iqwpuCkNKSVilC8jmu2mIt8g8LVWh4piOdQeKLJCG2p6AlqKYJg&#10;W9T/QBktETxUYSTBZL2Q5AipmIyfeHNbC6eSFrLau5Pp/v/Byo+7z8h0WfApZ1YYavjh54/D/e/D&#10;r+/T6E7rfE5Jt47SQvcWOpqZpNS7G5BfPbNwXQu7UVeI0NZKlMRuEl9mj572OD6CrNsPUFIZsQ2Q&#10;gLoKTbSOzGCETp3ZnzqjusAkHc7Ozy9mnEm6mbyenJ3NUgGRD28d+vBOgWExKDhS3xO22N34ELmI&#10;fEiJpSysdNOk3jf2rwNKjCeJe6TbEw/dujt6sYZyTyoQ+lGij0RBDfiNs5bGqOCWfg1nzXtLPsSJ&#10;GwIcgvUQCCvpYcEDZ314HfrJ3DrUm5pwB6evyKuVTkKiqT2HI0sajKTvOMRx8h7vU9bDx13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CMVC4ICgIAAAAEAAAOAAAAAAAAAAEAIAAAAB8BAABk&#10;cnMvZTJvRG9jLnhtbFBLBQYAAAAABgAGAFkBAACbBQAAAAA=&#10;">
              <v:fill on="f" focussize="0,0"/>
              <v:stroke on="f"/>
              <v:imagedata o:title=""/>
              <o:lock v:ext="edit" aspectratio="f"/>
              <v:textbox inset="0mm,0mm,0mm,0mm" style="mso-fit-shape-to-text:t;">
                <w:txbxContent>
                  <w:p w14:paraId="3C879CE5">
                    <w:pPr>
                      <w:pStyle w:val="16"/>
                      <w:rPr>
                        <w:rStyle w:val="24"/>
                      </w:rPr>
                    </w:pPr>
                    <w:r>
                      <w:fldChar w:fldCharType="begin"/>
                    </w:r>
                    <w:r>
                      <w:rPr>
                        <w:rStyle w:val="24"/>
                      </w:rPr>
                      <w:instrText xml:space="preserve">PAGE  </w:instrText>
                    </w:r>
                    <w:r>
                      <w:fldChar w:fldCharType="separate"/>
                    </w:r>
                    <w:r>
                      <w:rPr>
                        <w:rStyle w:val="24"/>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E8935">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BD443">
    <w:pPr>
      <w:pStyle w:val="16"/>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6835" cy="175260"/>
              <wp:effectExtent l="0" t="0" r="0" b="0"/>
              <wp:wrapNone/>
              <wp:docPr id="1" name="文本框3"/>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14:paraId="065EE6F5">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 id="文本框3" o:spid="_x0000_s1026" o:spt="202" type="#_x0000_t202" style="position:absolute;left:0pt;margin-top:0pt;height:13.8pt;width:6.05pt;mso-position-horizontal:center;mso-position-horizontal-relative:margin;mso-wrap-style:none;z-index:251660288;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EQVWecJAgAAAAQAAA4AAABkcnMvZTJvRG9jLnhtbK1TS27bMBDdF+gd&#10;CO5r2Q7iBILlII3hokD6AdIcgKYoi6jIIYa0JfcA7Q266ib7nsvn6JCynDTdZNENMSSHb957M5xf&#10;daZhO4Vegy34ZDTmTFkJpbabgt9/Wb255MwHYUvRgFUF3yvPrxavX81bl6sp1NCUChmBWJ+3ruB1&#10;CC7PMi9rZYQfgVOWLitAIwJtcZOVKFpCN002HY9nWQtYOgSpvKfTZX/Jj4j4EkCoKi3VEuTWKBt6&#10;VFSNCCTJ19p5vkhsq0rJ8KmqvAqsKTgpDWmlIhSv45ot5iLfoHC1lkcK4iUUnmkyQlsqeoJaiiDY&#10;FvU/UEZLBA9VGEkwWS8kOUIqJuNn3tzVwqmkhaz27mS6/3+w8uPuMzJd0iRwZoWhhh9+/jj8+n14&#10;+H4W3WmdzynpzlFa6N5CFzOjUu9uQX71zMJNLexGXSNCWytRErtJfJk9edrj+Aiybj9ASWXENkAC&#10;6io0EZDMYIROndmfOqO6wCQdXswuz845k3QzuTifzlLjMpEPbx368E6BYTEoOFLfE7bY3foQuYh8&#10;SImlLKx006TeN/avA0qMJ4l7pNsTD926O3qxhnJPKhD6UaKPREEN+I2zlsao4JZ+DWfNe0s+xIkb&#10;AhyC9RAIK+lhwQNnfXgT+sncOtSbmnAHp6/Jq5VOQqKpPYcjSxqMpO84xHHynu5T1uPHXf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tEccdAAAAADAQAADwAAAAAAAAABACAAAAAiAAAAZHJzL2Rv&#10;d25yZXYueG1sUEsBAhQAFAAAAAgAh07iQEQVWecJAgAAAAQAAA4AAAAAAAAAAQAgAAAAHwEAAGRy&#10;cy9lMm9Eb2MueG1sUEsFBgAAAAAGAAYAWQEAAJoFAAAAAA==&#10;">
              <v:fill on="f" focussize="0,0"/>
              <v:stroke on="f"/>
              <v:imagedata o:title=""/>
              <o:lock v:ext="edit" aspectratio="f"/>
              <v:textbox inset="0mm,0mm,0mm,0mm" style="mso-fit-shape-to-text:t;">
                <w:txbxContent>
                  <w:p w14:paraId="065EE6F5">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98628">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D663C">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48D72">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8407">
    <w:pPr>
      <w:pStyle w:val="17"/>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2ZjA5Mjc1NTEyZGY5OTFhMjI2ZWI2MTFlY2RlMTAifQ=="/>
  </w:docVars>
  <w:rsids>
    <w:rsidRoot w:val="00172A27"/>
    <w:rsid w:val="0000143D"/>
    <w:rsid w:val="00017A40"/>
    <w:rsid w:val="000305A6"/>
    <w:rsid w:val="00034AD2"/>
    <w:rsid w:val="00035167"/>
    <w:rsid w:val="00036696"/>
    <w:rsid w:val="000403CB"/>
    <w:rsid w:val="00046BF2"/>
    <w:rsid w:val="0004707E"/>
    <w:rsid w:val="00047B8F"/>
    <w:rsid w:val="00050933"/>
    <w:rsid w:val="0006119B"/>
    <w:rsid w:val="00063EF4"/>
    <w:rsid w:val="000726DE"/>
    <w:rsid w:val="00074AB6"/>
    <w:rsid w:val="00085FAA"/>
    <w:rsid w:val="000B0A4B"/>
    <w:rsid w:val="000B40C8"/>
    <w:rsid w:val="000C2F2B"/>
    <w:rsid w:val="000D00B0"/>
    <w:rsid w:val="000D2038"/>
    <w:rsid w:val="000D7D9A"/>
    <w:rsid w:val="000F62E2"/>
    <w:rsid w:val="00102FCF"/>
    <w:rsid w:val="00121817"/>
    <w:rsid w:val="00122E72"/>
    <w:rsid w:val="0014338D"/>
    <w:rsid w:val="00150DFF"/>
    <w:rsid w:val="00153657"/>
    <w:rsid w:val="00154080"/>
    <w:rsid w:val="00172A27"/>
    <w:rsid w:val="00174BD4"/>
    <w:rsid w:val="00174D97"/>
    <w:rsid w:val="0017648D"/>
    <w:rsid w:val="00176DF9"/>
    <w:rsid w:val="0018360B"/>
    <w:rsid w:val="00193E38"/>
    <w:rsid w:val="001A2D80"/>
    <w:rsid w:val="001B2D64"/>
    <w:rsid w:val="001C559A"/>
    <w:rsid w:val="001C6EF9"/>
    <w:rsid w:val="001E19BA"/>
    <w:rsid w:val="001E75FE"/>
    <w:rsid w:val="001F4292"/>
    <w:rsid w:val="002035D4"/>
    <w:rsid w:val="00217BCD"/>
    <w:rsid w:val="00221911"/>
    <w:rsid w:val="00223D40"/>
    <w:rsid w:val="00223F4A"/>
    <w:rsid w:val="00231651"/>
    <w:rsid w:val="002331CA"/>
    <w:rsid w:val="00233704"/>
    <w:rsid w:val="00240E9F"/>
    <w:rsid w:val="00247749"/>
    <w:rsid w:val="00250772"/>
    <w:rsid w:val="00252330"/>
    <w:rsid w:val="002527B4"/>
    <w:rsid w:val="002553A3"/>
    <w:rsid w:val="00261623"/>
    <w:rsid w:val="00264F71"/>
    <w:rsid w:val="002664FD"/>
    <w:rsid w:val="00274BEA"/>
    <w:rsid w:val="002B7D83"/>
    <w:rsid w:val="002C302B"/>
    <w:rsid w:val="002D73FC"/>
    <w:rsid w:val="002E2182"/>
    <w:rsid w:val="002F298F"/>
    <w:rsid w:val="002F6A18"/>
    <w:rsid w:val="00315044"/>
    <w:rsid w:val="00315664"/>
    <w:rsid w:val="0032455C"/>
    <w:rsid w:val="0032465C"/>
    <w:rsid w:val="0032535E"/>
    <w:rsid w:val="00330AD5"/>
    <w:rsid w:val="00331E77"/>
    <w:rsid w:val="0034309B"/>
    <w:rsid w:val="003452E1"/>
    <w:rsid w:val="00345335"/>
    <w:rsid w:val="0035576D"/>
    <w:rsid w:val="003660BA"/>
    <w:rsid w:val="003776D2"/>
    <w:rsid w:val="00377A7E"/>
    <w:rsid w:val="0038162F"/>
    <w:rsid w:val="00397E71"/>
    <w:rsid w:val="003A1C65"/>
    <w:rsid w:val="003B0280"/>
    <w:rsid w:val="003B1D69"/>
    <w:rsid w:val="003B6F50"/>
    <w:rsid w:val="003E7263"/>
    <w:rsid w:val="003E74F3"/>
    <w:rsid w:val="003F78DB"/>
    <w:rsid w:val="00406AAF"/>
    <w:rsid w:val="004306E0"/>
    <w:rsid w:val="0043417D"/>
    <w:rsid w:val="00434AC0"/>
    <w:rsid w:val="00436E6E"/>
    <w:rsid w:val="00446898"/>
    <w:rsid w:val="00473324"/>
    <w:rsid w:val="004753C8"/>
    <w:rsid w:val="00476C1E"/>
    <w:rsid w:val="004935FD"/>
    <w:rsid w:val="00496D18"/>
    <w:rsid w:val="004A362F"/>
    <w:rsid w:val="004A5C94"/>
    <w:rsid w:val="004A63D2"/>
    <w:rsid w:val="004D68CB"/>
    <w:rsid w:val="004E2AE2"/>
    <w:rsid w:val="004E6463"/>
    <w:rsid w:val="004F7502"/>
    <w:rsid w:val="00504074"/>
    <w:rsid w:val="00505859"/>
    <w:rsid w:val="00517A81"/>
    <w:rsid w:val="00521D3E"/>
    <w:rsid w:val="005229ED"/>
    <w:rsid w:val="0053560A"/>
    <w:rsid w:val="00536396"/>
    <w:rsid w:val="00545545"/>
    <w:rsid w:val="005500D9"/>
    <w:rsid w:val="005501F1"/>
    <w:rsid w:val="00553508"/>
    <w:rsid w:val="00560509"/>
    <w:rsid w:val="005634FE"/>
    <w:rsid w:val="00570572"/>
    <w:rsid w:val="005914DB"/>
    <w:rsid w:val="005A046F"/>
    <w:rsid w:val="005A560B"/>
    <w:rsid w:val="005A688D"/>
    <w:rsid w:val="005B2133"/>
    <w:rsid w:val="005C16CA"/>
    <w:rsid w:val="005C4BE6"/>
    <w:rsid w:val="005C6CD5"/>
    <w:rsid w:val="005D2FE9"/>
    <w:rsid w:val="005E0B24"/>
    <w:rsid w:val="005E54B1"/>
    <w:rsid w:val="0060238E"/>
    <w:rsid w:val="00602E99"/>
    <w:rsid w:val="00605CB9"/>
    <w:rsid w:val="00613319"/>
    <w:rsid w:val="0063026E"/>
    <w:rsid w:val="0063378C"/>
    <w:rsid w:val="00633E11"/>
    <w:rsid w:val="006353B0"/>
    <w:rsid w:val="00635C70"/>
    <w:rsid w:val="00641553"/>
    <w:rsid w:val="006437E2"/>
    <w:rsid w:val="00647D93"/>
    <w:rsid w:val="00665BCB"/>
    <w:rsid w:val="00666499"/>
    <w:rsid w:val="00677821"/>
    <w:rsid w:val="00697D9F"/>
    <w:rsid w:val="006C2488"/>
    <w:rsid w:val="006C2F55"/>
    <w:rsid w:val="006E41FA"/>
    <w:rsid w:val="006E6F12"/>
    <w:rsid w:val="007048FA"/>
    <w:rsid w:val="00722ADA"/>
    <w:rsid w:val="00741223"/>
    <w:rsid w:val="00751FEA"/>
    <w:rsid w:val="007635EA"/>
    <w:rsid w:val="007734C6"/>
    <w:rsid w:val="00782682"/>
    <w:rsid w:val="007954E8"/>
    <w:rsid w:val="007A44A2"/>
    <w:rsid w:val="007D0D7D"/>
    <w:rsid w:val="007D2429"/>
    <w:rsid w:val="007D3701"/>
    <w:rsid w:val="007D5894"/>
    <w:rsid w:val="007E0245"/>
    <w:rsid w:val="007E1718"/>
    <w:rsid w:val="007E1F12"/>
    <w:rsid w:val="007E2E96"/>
    <w:rsid w:val="007E59D6"/>
    <w:rsid w:val="007E7DFF"/>
    <w:rsid w:val="007F1CD2"/>
    <w:rsid w:val="00803A1A"/>
    <w:rsid w:val="00822931"/>
    <w:rsid w:val="00822EA2"/>
    <w:rsid w:val="008303E9"/>
    <w:rsid w:val="008340EF"/>
    <w:rsid w:val="00846033"/>
    <w:rsid w:val="00866D77"/>
    <w:rsid w:val="00881B71"/>
    <w:rsid w:val="0088347C"/>
    <w:rsid w:val="00886E10"/>
    <w:rsid w:val="008A68FA"/>
    <w:rsid w:val="008A7F14"/>
    <w:rsid w:val="008D0E42"/>
    <w:rsid w:val="008D6BDA"/>
    <w:rsid w:val="008E659E"/>
    <w:rsid w:val="008F4E93"/>
    <w:rsid w:val="008F7CB9"/>
    <w:rsid w:val="009001FA"/>
    <w:rsid w:val="00905F76"/>
    <w:rsid w:val="0090738A"/>
    <w:rsid w:val="00922802"/>
    <w:rsid w:val="00941518"/>
    <w:rsid w:val="009502C2"/>
    <w:rsid w:val="0097009E"/>
    <w:rsid w:val="00991065"/>
    <w:rsid w:val="009A67F3"/>
    <w:rsid w:val="009B39BA"/>
    <w:rsid w:val="009B3CF9"/>
    <w:rsid w:val="009B4A77"/>
    <w:rsid w:val="009C3B5E"/>
    <w:rsid w:val="009C55C3"/>
    <w:rsid w:val="009C75AA"/>
    <w:rsid w:val="009D093C"/>
    <w:rsid w:val="009D1E2E"/>
    <w:rsid w:val="009D3DB7"/>
    <w:rsid w:val="009D645B"/>
    <w:rsid w:val="009E5DEB"/>
    <w:rsid w:val="009E6396"/>
    <w:rsid w:val="009E799C"/>
    <w:rsid w:val="00A04201"/>
    <w:rsid w:val="00A10A17"/>
    <w:rsid w:val="00A14C93"/>
    <w:rsid w:val="00A3213A"/>
    <w:rsid w:val="00A33110"/>
    <w:rsid w:val="00A37556"/>
    <w:rsid w:val="00A41B00"/>
    <w:rsid w:val="00A4418D"/>
    <w:rsid w:val="00A81AC3"/>
    <w:rsid w:val="00AA2D64"/>
    <w:rsid w:val="00AB665C"/>
    <w:rsid w:val="00AE0358"/>
    <w:rsid w:val="00B23D36"/>
    <w:rsid w:val="00B27A6E"/>
    <w:rsid w:val="00B42160"/>
    <w:rsid w:val="00B55914"/>
    <w:rsid w:val="00B56B75"/>
    <w:rsid w:val="00B77F63"/>
    <w:rsid w:val="00B87102"/>
    <w:rsid w:val="00B939D6"/>
    <w:rsid w:val="00BA3594"/>
    <w:rsid w:val="00BA649D"/>
    <w:rsid w:val="00BB0EDF"/>
    <w:rsid w:val="00BB4A87"/>
    <w:rsid w:val="00BC7BD9"/>
    <w:rsid w:val="00BE078B"/>
    <w:rsid w:val="00BE570C"/>
    <w:rsid w:val="00BF447E"/>
    <w:rsid w:val="00BF4FFB"/>
    <w:rsid w:val="00C043CF"/>
    <w:rsid w:val="00C17E19"/>
    <w:rsid w:val="00C17E8B"/>
    <w:rsid w:val="00C2650C"/>
    <w:rsid w:val="00C34504"/>
    <w:rsid w:val="00C35331"/>
    <w:rsid w:val="00C3704B"/>
    <w:rsid w:val="00C55C45"/>
    <w:rsid w:val="00C61A00"/>
    <w:rsid w:val="00C6448C"/>
    <w:rsid w:val="00C716D0"/>
    <w:rsid w:val="00C923E5"/>
    <w:rsid w:val="00C94E57"/>
    <w:rsid w:val="00C95CFD"/>
    <w:rsid w:val="00CB6A25"/>
    <w:rsid w:val="00CC4190"/>
    <w:rsid w:val="00CD2516"/>
    <w:rsid w:val="00CE45D9"/>
    <w:rsid w:val="00D04C79"/>
    <w:rsid w:val="00D125FD"/>
    <w:rsid w:val="00D2724B"/>
    <w:rsid w:val="00D416D0"/>
    <w:rsid w:val="00D513FA"/>
    <w:rsid w:val="00D55154"/>
    <w:rsid w:val="00D6216E"/>
    <w:rsid w:val="00D62C15"/>
    <w:rsid w:val="00D72046"/>
    <w:rsid w:val="00D82F08"/>
    <w:rsid w:val="00D83EE5"/>
    <w:rsid w:val="00D850FD"/>
    <w:rsid w:val="00D91223"/>
    <w:rsid w:val="00D92243"/>
    <w:rsid w:val="00DA580E"/>
    <w:rsid w:val="00DB5E2B"/>
    <w:rsid w:val="00DC2C3B"/>
    <w:rsid w:val="00DE02C4"/>
    <w:rsid w:val="00DE194A"/>
    <w:rsid w:val="00DE4220"/>
    <w:rsid w:val="00DE48E3"/>
    <w:rsid w:val="00DF3806"/>
    <w:rsid w:val="00E06B05"/>
    <w:rsid w:val="00E325E9"/>
    <w:rsid w:val="00E47509"/>
    <w:rsid w:val="00E5199A"/>
    <w:rsid w:val="00E5576C"/>
    <w:rsid w:val="00E60F57"/>
    <w:rsid w:val="00E641C2"/>
    <w:rsid w:val="00E655A1"/>
    <w:rsid w:val="00E70D33"/>
    <w:rsid w:val="00E757C4"/>
    <w:rsid w:val="00E87919"/>
    <w:rsid w:val="00EA2789"/>
    <w:rsid w:val="00EA320C"/>
    <w:rsid w:val="00EB01AE"/>
    <w:rsid w:val="00EB6A6F"/>
    <w:rsid w:val="00EC014C"/>
    <w:rsid w:val="00EC0CBA"/>
    <w:rsid w:val="00EC5EEA"/>
    <w:rsid w:val="00ED456F"/>
    <w:rsid w:val="00ED4C09"/>
    <w:rsid w:val="00EE281B"/>
    <w:rsid w:val="00EE5F71"/>
    <w:rsid w:val="00EF7926"/>
    <w:rsid w:val="00F01858"/>
    <w:rsid w:val="00F05827"/>
    <w:rsid w:val="00F15680"/>
    <w:rsid w:val="00F274CD"/>
    <w:rsid w:val="00F30657"/>
    <w:rsid w:val="00F33436"/>
    <w:rsid w:val="00F47789"/>
    <w:rsid w:val="00F54BA7"/>
    <w:rsid w:val="00F56022"/>
    <w:rsid w:val="00F56D41"/>
    <w:rsid w:val="00F609F6"/>
    <w:rsid w:val="00F67F5D"/>
    <w:rsid w:val="00F74313"/>
    <w:rsid w:val="00F96599"/>
    <w:rsid w:val="00F9758C"/>
    <w:rsid w:val="00FC557F"/>
    <w:rsid w:val="00FD1183"/>
    <w:rsid w:val="00FD72E9"/>
    <w:rsid w:val="00FE74DE"/>
    <w:rsid w:val="00FF46C8"/>
    <w:rsid w:val="00FF4A66"/>
    <w:rsid w:val="01243261"/>
    <w:rsid w:val="017C6D0A"/>
    <w:rsid w:val="01BB6BDF"/>
    <w:rsid w:val="02502671"/>
    <w:rsid w:val="02C80459"/>
    <w:rsid w:val="02FE20CD"/>
    <w:rsid w:val="03DE37AB"/>
    <w:rsid w:val="04966335"/>
    <w:rsid w:val="052D57C2"/>
    <w:rsid w:val="0576663C"/>
    <w:rsid w:val="06E415DA"/>
    <w:rsid w:val="080355A0"/>
    <w:rsid w:val="0B8C79A0"/>
    <w:rsid w:val="0C084C02"/>
    <w:rsid w:val="0E8C6E3E"/>
    <w:rsid w:val="0FBF2686"/>
    <w:rsid w:val="11AA3420"/>
    <w:rsid w:val="11FC7EAB"/>
    <w:rsid w:val="152E22E5"/>
    <w:rsid w:val="15C70A44"/>
    <w:rsid w:val="16FA57BE"/>
    <w:rsid w:val="18982224"/>
    <w:rsid w:val="18DF05E5"/>
    <w:rsid w:val="191E6BCD"/>
    <w:rsid w:val="1DC046F7"/>
    <w:rsid w:val="212C5BFF"/>
    <w:rsid w:val="2160314F"/>
    <w:rsid w:val="21B77BBF"/>
    <w:rsid w:val="25A07824"/>
    <w:rsid w:val="25EE7927"/>
    <w:rsid w:val="276B6C1D"/>
    <w:rsid w:val="28C130D1"/>
    <w:rsid w:val="28DC43AF"/>
    <w:rsid w:val="2A902874"/>
    <w:rsid w:val="2A9E0A92"/>
    <w:rsid w:val="2C6866E1"/>
    <w:rsid w:val="2CDD5276"/>
    <w:rsid w:val="2F225285"/>
    <w:rsid w:val="2FB30975"/>
    <w:rsid w:val="301461DC"/>
    <w:rsid w:val="30443D51"/>
    <w:rsid w:val="3143321D"/>
    <w:rsid w:val="3168799C"/>
    <w:rsid w:val="31B92820"/>
    <w:rsid w:val="32FA1FF2"/>
    <w:rsid w:val="33C65A3F"/>
    <w:rsid w:val="36F80950"/>
    <w:rsid w:val="36FF1994"/>
    <w:rsid w:val="371116C7"/>
    <w:rsid w:val="390F1C37"/>
    <w:rsid w:val="39671C70"/>
    <w:rsid w:val="39924D42"/>
    <w:rsid w:val="3A0472C2"/>
    <w:rsid w:val="3B07350D"/>
    <w:rsid w:val="3DA037A5"/>
    <w:rsid w:val="3E9A01F4"/>
    <w:rsid w:val="40B3559D"/>
    <w:rsid w:val="40F2256A"/>
    <w:rsid w:val="414D2B91"/>
    <w:rsid w:val="46933EA7"/>
    <w:rsid w:val="497E2BEC"/>
    <w:rsid w:val="49B26D3A"/>
    <w:rsid w:val="49DC7913"/>
    <w:rsid w:val="49E8450A"/>
    <w:rsid w:val="4A184F40"/>
    <w:rsid w:val="4C9C2A40"/>
    <w:rsid w:val="4D4667D9"/>
    <w:rsid w:val="4F8970B8"/>
    <w:rsid w:val="50572CF1"/>
    <w:rsid w:val="522F60E5"/>
    <w:rsid w:val="52BE04FE"/>
    <w:rsid w:val="53290751"/>
    <w:rsid w:val="54080CF8"/>
    <w:rsid w:val="55713513"/>
    <w:rsid w:val="55A82D9F"/>
    <w:rsid w:val="57C56077"/>
    <w:rsid w:val="58080334"/>
    <w:rsid w:val="581F3B12"/>
    <w:rsid w:val="58690F0C"/>
    <w:rsid w:val="598C4EB2"/>
    <w:rsid w:val="5B1E5FDD"/>
    <w:rsid w:val="5C050F4B"/>
    <w:rsid w:val="5C164F06"/>
    <w:rsid w:val="5D933278"/>
    <w:rsid w:val="60727D68"/>
    <w:rsid w:val="60AC5E39"/>
    <w:rsid w:val="63B575F2"/>
    <w:rsid w:val="66D3434D"/>
    <w:rsid w:val="67DD1C73"/>
    <w:rsid w:val="68151D76"/>
    <w:rsid w:val="6923653C"/>
    <w:rsid w:val="6A771266"/>
    <w:rsid w:val="6AEC1C54"/>
    <w:rsid w:val="6B96571C"/>
    <w:rsid w:val="6BE26E62"/>
    <w:rsid w:val="6C115D0A"/>
    <w:rsid w:val="6C8F0F67"/>
    <w:rsid w:val="6D2D0302"/>
    <w:rsid w:val="6D4B2536"/>
    <w:rsid w:val="6DBA0759"/>
    <w:rsid w:val="6ECB392F"/>
    <w:rsid w:val="6F1F3C7A"/>
    <w:rsid w:val="6F5702B1"/>
    <w:rsid w:val="70AC59E2"/>
    <w:rsid w:val="73114D0C"/>
    <w:rsid w:val="74570A64"/>
    <w:rsid w:val="75720FA8"/>
    <w:rsid w:val="76BA1008"/>
    <w:rsid w:val="780B31E3"/>
    <w:rsid w:val="7AAE415C"/>
    <w:rsid w:val="7AE61231"/>
    <w:rsid w:val="7B452CBB"/>
    <w:rsid w:val="7C175198"/>
    <w:rsid w:val="7D32101D"/>
    <w:rsid w:val="7D4F4535"/>
    <w:rsid w:val="7E2C3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7"/>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8"/>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29"/>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0"/>
    <w:qFormat/>
    <w:uiPriority w:val="0"/>
    <w:pPr>
      <w:keepNext/>
      <w:spacing w:before="240" w:after="60"/>
      <w:outlineLvl w:val="3"/>
    </w:pPr>
    <w:rPr>
      <w:b/>
      <w:bCs/>
      <w:sz w:val="28"/>
      <w:szCs w:val="28"/>
      <w:lang w:bidi="ar-SA"/>
    </w:rPr>
  </w:style>
  <w:style w:type="paragraph" w:styleId="6">
    <w:name w:val="heading 5"/>
    <w:basedOn w:val="1"/>
    <w:next w:val="1"/>
    <w:link w:val="31"/>
    <w:qFormat/>
    <w:uiPriority w:val="0"/>
    <w:pPr>
      <w:spacing w:before="240" w:after="60"/>
      <w:outlineLvl w:val="4"/>
    </w:pPr>
    <w:rPr>
      <w:b/>
      <w:bCs/>
      <w:i/>
      <w:iCs/>
      <w:sz w:val="26"/>
      <w:szCs w:val="26"/>
      <w:lang w:bidi="ar-SA"/>
    </w:rPr>
  </w:style>
  <w:style w:type="paragraph" w:styleId="7">
    <w:name w:val="heading 6"/>
    <w:basedOn w:val="1"/>
    <w:next w:val="1"/>
    <w:link w:val="32"/>
    <w:qFormat/>
    <w:uiPriority w:val="0"/>
    <w:pPr>
      <w:spacing w:before="240" w:after="60"/>
      <w:outlineLvl w:val="5"/>
    </w:pPr>
    <w:rPr>
      <w:b/>
      <w:bCs/>
      <w:sz w:val="20"/>
      <w:szCs w:val="20"/>
      <w:lang w:bidi="ar-SA"/>
    </w:rPr>
  </w:style>
  <w:style w:type="paragraph" w:styleId="8">
    <w:name w:val="heading 7"/>
    <w:basedOn w:val="1"/>
    <w:next w:val="1"/>
    <w:link w:val="33"/>
    <w:qFormat/>
    <w:uiPriority w:val="0"/>
    <w:pPr>
      <w:spacing w:before="240" w:after="60"/>
      <w:outlineLvl w:val="6"/>
    </w:pPr>
    <w:rPr>
      <w:lang w:bidi="ar-SA"/>
    </w:rPr>
  </w:style>
  <w:style w:type="paragraph" w:styleId="9">
    <w:name w:val="heading 8"/>
    <w:basedOn w:val="1"/>
    <w:next w:val="1"/>
    <w:link w:val="34"/>
    <w:qFormat/>
    <w:uiPriority w:val="0"/>
    <w:pPr>
      <w:spacing w:before="240" w:after="60"/>
      <w:outlineLvl w:val="7"/>
    </w:pPr>
    <w:rPr>
      <w:i/>
      <w:iCs/>
      <w:lang w:bidi="ar-SA"/>
    </w:rPr>
  </w:style>
  <w:style w:type="paragraph" w:styleId="10">
    <w:name w:val="heading 9"/>
    <w:basedOn w:val="1"/>
    <w:next w:val="1"/>
    <w:link w:val="35"/>
    <w:qFormat/>
    <w:uiPriority w:val="0"/>
    <w:pPr>
      <w:spacing w:before="240" w:after="60"/>
      <w:outlineLvl w:val="8"/>
    </w:pPr>
    <w:rPr>
      <w:rFonts w:ascii="Cambria" w:hAnsi="Cambria"/>
      <w:sz w:val="20"/>
      <w:szCs w:val="20"/>
      <w:lang w:bidi="ar-SA"/>
    </w:rPr>
  </w:style>
  <w:style w:type="character" w:default="1" w:styleId="22">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6"/>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7"/>
    <w:qFormat/>
    <w:uiPriority w:val="0"/>
    <w:rPr>
      <w:rFonts w:ascii="宋体" w:hAnsi="Courier New"/>
      <w:sz w:val="21"/>
      <w:szCs w:val="21"/>
      <w:lang w:bidi="ar-SA"/>
    </w:rPr>
  </w:style>
  <w:style w:type="paragraph" w:styleId="14">
    <w:name w:val="Date"/>
    <w:basedOn w:val="1"/>
    <w:next w:val="1"/>
    <w:link w:val="38"/>
    <w:qFormat/>
    <w:uiPriority w:val="0"/>
    <w:pPr>
      <w:ind w:left="100" w:leftChars="2500"/>
    </w:pPr>
    <w:rPr>
      <w:sz w:val="21"/>
      <w:szCs w:val="21"/>
      <w:lang w:bidi="ar-SA"/>
    </w:rPr>
  </w:style>
  <w:style w:type="paragraph" w:styleId="15">
    <w:name w:val="Balloon Text"/>
    <w:basedOn w:val="1"/>
    <w:link w:val="39"/>
    <w:qFormat/>
    <w:uiPriority w:val="0"/>
    <w:rPr>
      <w:sz w:val="18"/>
      <w:szCs w:val="18"/>
      <w:lang w:bidi="ar-SA"/>
    </w:rPr>
  </w:style>
  <w:style w:type="paragraph" w:styleId="16">
    <w:name w:val="footer"/>
    <w:basedOn w:val="1"/>
    <w:link w:val="40"/>
    <w:qFormat/>
    <w:uiPriority w:val="0"/>
    <w:pPr>
      <w:tabs>
        <w:tab w:val="center" w:pos="4153"/>
        <w:tab w:val="right" w:pos="8306"/>
      </w:tabs>
      <w:snapToGrid w:val="0"/>
    </w:pPr>
    <w:rPr>
      <w:sz w:val="18"/>
      <w:szCs w:val="18"/>
      <w:lang w:bidi="ar-SA"/>
    </w:rPr>
  </w:style>
  <w:style w:type="paragraph" w:styleId="17">
    <w:name w:val="header"/>
    <w:basedOn w:val="1"/>
    <w:link w:val="41"/>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2"/>
    <w:qFormat/>
    <w:uiPriority w:val="0"/>
    <w:pPr>
      <w:spacing w:after="60"/>
      <w:jc w:val="center"/>
      <w:outlineLvl w:val="1"/>
    </w:pPr>
    <w:rPr>
      <w:rFonts w:ascii="Cambria" w:hAnsi="Cambria"/>
      <w:lang w:bidi="ar-SA"/>
    </w:rPr>
  </w:style>
  <w:style w:type="paragraph" w:styleId="19">
    <w:name w:val="Title"/>
    <w:basedOn w:val="1"/>
    <w:next w:val="1"/>
    <w:link w:val="43"/>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uiPriority w:val="0"/>
    <w:rPr>
      <w:rFonts w:ascii="Calibri" w:hAnsi="Calibri"/>
      <w:b/>
      <w:bCs/>
      <w:sz w:val="24"/>
      <w:szCs w:val="24"/>
    </w:rPr>
  </w:style>
  <w:style w:type="character" w:styleId="23">
    <w:name w:val="Strong"/>
    <w:qFormat/>
    <w:uiPriority w:val="0"/>
    <w:rPr>
      <w:b/>
      <w:bCs/>
    </w:rPr>
  </w:style>
  <w:style w:type="character" w:styleId="24">
    <w:name w:val="page number"/>
    <w:qFormat/>
    <w:uiPriority w:val="0"/>
    <w:rPr>
      <w:rFonts w:ascii="Times New Roman" w:hAnsi="Times New Roman" w:eastAsia="宋体"/>
      <w:sz w:val="18"/>
    </w:rPr>
  </w:style>
  <w:style w:type="character" w:styleId="25">
    <w:name w:val="Emphasis"/>
    <w:qFormat/>
    <w:uiPriority w:val="0"/>
    <w:rPr>
      <w:rFonts w:ascii="Calibri" w:hAnsi="Calibri"/>
      <w:b/>
      <w:i/>
      <w:iCs/>
    </w:rPr>
  </w:style>
  <w:style w:type="character" w:styleId="26">
    <w:name w:val="annotation reference"/>
    <w:qFormat/>
    <w:uiPriority w:val="0"/>
    <w:rPr>
      <w:sz w:val="21"/>
      <w:szCs w:val="21"/>
    </w:rPr>
  </w:style>
  <w:style w:type="character" w:customStyle="1" w:styleId="27">
    <w:name w:val="标题 1 字符"/>
    <w:link w:val="2"/>
    <w:qFormat/>
    <w:uiPriority w:val="0"/>
    <w:rPr>
      <w:rFonts w:ascii="Cambria" w:hAnsi="Cambria" w:eastAsia="宋体"/>
      <w:b/>
      <w:bCs/>
      <w:kern w:val="32"/>
      <w:sz w:val="32"/>
      <w:szCs w:val="32"/>
    </w:rPr>
  </w:style>
  <w:style w:type="character" w:customStyle="1" w:styleId="28">
    <w:name w:val="标题 2 字符"/>
    <w:link w:val="3"/>
    <w:qFormat/>
    <w:uiPriority w:val="0"/>
    <w:rPr>
      <w:rFonts w:ascii="Cambria" w:hAnsi="Cambria" w:eastAsia="宋体"/>
      <w:b/>
      <w:bCs/>
      <w:i/>
      <w:iCs/>
      <w:sz w:val="28"/>
      <w:szCs w:val="28"/>
    </w:rPr>
  </w:style>
  <w:style w:type="character" w:customStyle="1" w:styleId="29">
    <w:name w:val="标题 3 字符"/>
    <w:link w:val="4"/>
    <w:uiPriority w:val="0"/>
    <w:rPr>
      <w:rFonts w:ascii="Cambria" w:hAnsi="Cambria" w:eastAsia="宋体"/>
      <w:b/>
      <w:bCs/>
      <w:sz w:val="26"/>
      <w:szCs w:val="26"/>
    </w:rPr>
  </w:style>
  <w:style w:type="character" w:customStyle="1" w:styleId="30">
    <w:name w:val="标题 4 字符"/>
    <w:link w:val="5"/>
    <w:uiPriority w:val="0"/>
    <w:rPr>
      <w:b/>
      <w:bCs/>
      <w:sz w:val="28"/>
      <w:szCs w:val="28"/>
    </w:rPr>
  </w:style>
  <w:style w:type="character" w:customStyle="1" w:styleId="31">
    <w:name w:val="标题 5 字符"/>
    <w:link w:val="6"/>
    <w:qFormat/>
    <w:uiPriority w:val="0"/>
    <w:rPr>
      <w:b/>
      <w:bCs/>
      <w:i/>
      <w:iCs/>
      <w:sz w:val="26"/>
      <w:szCs w:val="26"/>
    </w:rPr>
  </w:style>
  <w:style w:type="character" w:customStyle="1" w:styleId="32">
    <w:name w:val="标题 6 字符"/>
    <w:link w:val="7"/>
    <w:qFormat/>
    <w:uiPriority w:val="0"/>
    <w:rPr>
      <w:b/>
      <w:bCs/>
    </w:rPr>
  </w:style>
  <w:style w:type="character" w:customStyle="1" w:styleId="33">
    <w:name w:val="标题 7 字符"/>
    <w:link w:val="8"/>
    <w:qFormat/>
    <w:uiPriority w:val="0"/>
    <w:rPr>
      <w:sz w:val="24"/>
      <w:szCs w:val="24"/>
    </w:rPr>
  </w:style>
  <w:style w:type="character" w:customStyle="1" w:styleId="34">
    <w:name w:val="标题 8 字符"/>
    <w:link w:val="9"/>
    <w:uiPriority w:val="0"/>
    <w:rPr>
      <w:i/>
      <w:iCs/>
      <w:sz w:val="24"/>
      <w:szCs w:val="24"/>
    </w:rPr>
  </w:style>
  <w:style w:type="character" w:customStyle="1" w:styleId="35">
    <w:name w:val="标题 9 字符"/>
    <w:link w:val="10"/>
    <w:uiPriority w:val="0"/>
    <w:rPr>
      <w:rFonts w:ascii="Cambria" w:hAnsi="Cambria" w:eastAsia="宋体"/>
    </w:rPr>
  </w:style>
  <w:style w:type="character" w:customStyle="1" w:styleId="36">
    <w:name w:val="批注文字 字符"/>
    <w:link w:val="11"/>
    <w:uiPriority w:val="0"/>
    <w:rPr>
      <w:rFonts w:ascii="Times New Roman" w:hAnsi="Times New Roman" w:eastAsia="宋体" w:cs="Times New Roman"/>
      <w:sz w:val="21"/>
      <w:szCs w:val="21"/>
    </w:rPr>
  </w:style>
  <w:style w:type="character" w:customStyle="1" w:styleId="37">
    <w:name w:val="纯文本 字符"/>
    <w:link w:val="13"/>
    <w:qFormat/>
    <w:uiPriority w:val="0"/>
    <w:rPr>
      <w:rFonts w:ascii="宋体" w:hAnsi="Courier New" w:eastAsia="宋体" w:cs="宋体"/>
      <w:sz w:val="21"/>
      <w:szCs w:val="21"/>
    </w:rPr>
  </w:style>
  <w:style w:type="character" w:customStyle="1" w:styleId="38">
    <w:name w:val="日期 字符"/>
    <w:link w:val="14"/>
    <w:qFormat/>
    <w:uiPriority w:val="0"/>
    <w:rPr>
      <w:rFonts w:ascii="Times New Roman" w:hAnsi="Times New Roman" w:eastAsia="宋体" w:cs="Times New Roman"/>
      <w:sz w:val="21"/>
      <w:szCs w:val="21"/>
    </w:rPr>
  </w:style>
  <w:style w:type="character" w:customStyle="1" w:styleId="39">
    <w:name w:val="批注框文本 字符"/>
    <w:link w:val="15"/>
    <w:uiPriority w:val="0"/>
    <w:rPr>
      <w:sz w:val="18"/>
      <w:szCs w:val="18"/>
    </w:rPr>
  </w:style>
  <w:style w:type="character" w:customStyle="1" w:styleId="40">
    <w:name w:val="页脚 字符"/>
    <w:link w:val="16"/>
    <w:qFormat/>
    <w:uiPriority w:val="0"/>
    <w:rPr>
      <w:rFonts w:ascii="Times New Roman" w:hAnsi="Times New Roman" w:eastAsia="宋体" w:cs="Times New Roman"/>
      <w:sz w:val="18"/>
      <w:szCs w:val="18"/>
    </w:rPr>
  </w:style>
  <w:style w:type="character" w:customStyle="1" w:styleId="41">
    <w:name w:val="页眉 字符"/>
    <w:link w:val="17"/>
    <w:qFormat/>
    <w:uiPriority w:val="0"/>
    <w:rPr>
      <w:rFonts w:ascii="Times New Roman" w:hAnsi="Times New Roman" w:eastAsia="宋体" w:cs="Times New Roman"/>
      <w:sz w:val="18"/>
      <w:szCs w:val="18"/>
    </w:rPr>
  </w:style>
  <w:style w:type="character" w:customStyle="1" w:styleId="42">
    <w:name w:val="副标题 字符"/>
    <w:link w:val="18"/>
    <w:qFormat/>
    <w:uiPriority w:val="0"/>
    <w:rPr>
      <w:rFonts w:ascii="Cambria" w:hAnsi="Cambria" w:eastAsia="宋体"/>
      <w:sz w:val="24"/>
      <w:szCs w:val="24"/>
    </w:rPr>
  </w:style>
  <w:style w:type="character" w:customStyle="1" w:styleId="43">
    <w:name w:val="标题 字符"/>
    <w:link w:val="19"/>
    <w:qFormat/>
    <w:uiPriority w:val="0"/>
    <w:rPr>
      <w:rFonts w:ascii="Cambria" w:hAnsi="Cambria" w:eastAsia="宋体"/>
      <w:b/>
      <w:bCs/>
      <w:kern w:val="28"/>
      <w:sz w:val="32"/>
      <w:szCs w:val="32"/>
    </w:rPr>
  </w:style>
  <w:style w:type="character" w:customStyle="1" w:styleId="44">
    <w:name w:val="网格表 1 浅色1"/>
    <w:qFormat/>
    <w:uiPriority w:val="0"/>
    <w:rPr>
      <w:rFonts w:ascii="Cambria" w:hAnsi="Cambria" w:eastAsia="宋体"/>
      <w:b/>
      <w:i/>
      <w:sz w:val="24"/>
      <w:szCs w:val="24"/>
    </w:rPr>
  </w:style>
  <w:style w:type="character" w:customStyle="1" w:styleId="45">
    <w:name w:val="彩色网格 - 着色 1 字符"/>
    <w:link w:val="46"/>
    <w:qFormat/>
    <w:uiPriority w:val="0"/>
    <w:rPr>
      <w:i/>
      <w:sz w:val="24"/>
      <w:szCs w:val="24"/>
    </w:rPr>
  </w:style>
  <w:style w:type="paragraph" w:customStyle="1" w:styleId="46">
    <w:name w:val="彩色网格 - 强调文字颜色 11"/>
    <w:basedOn w:val="1"/>
    <w:next w:val="1"/>
    <w:link w:val="45"/>
    <w:qFormat/>
    <w:uiPriority w:val="0"/>
    <w:rPr>
      <w:i/>
      <w:lang w:bidi="ar-SA"/>
    </w:rPr>
  </w:style>
  <w:style w:type="character" w:customStyle="1" w:styleId="47">
    <w:name w:val="无格式表格 31"/>
    <w:qFormat/>
    <w:uiPriority w:val="0"/>
    <w:rPr>
      <w:i/>
      <w:color w:val="5A5A5A"/>
    </w:rPr>
  </w:style>
  <w:style w:type="character" w:customStyle="1" w:styleId="48">
    <w:name w:val="网格型浅色1"/>
    <w:qFormat/>
    <w:uiPriority w:val="0"/>
    <w:rPr>
      <w:b/>
      <w:sz w:val="24"/>
      <w:u w:val="single"/>
    </w:rPr>
  </w:style>
  <w:style w:type="character" w:customStyle="1" w:styleId="49">
    <w:name w:val="无格式表格 41"/>
    <w:qFormat/>
    <w:uiPriority w:val="0"/>
    <w:rPr>
      <w:b/>
      <w:i/>
      <w:sz w:val="24"/>
      <w:szCs w:val="24"/>
      <w:u w:val="single"/>
    </w:rPr>
  </w:style>
  <w:style w:type="character" w:customStyle="1" w:styleId="50">
    <w:name w:val="无格式表格 51"/>
    <w:qFormat/>
    <w:uiPriority w:val="0"/>
    <w:rPr>
      <w:sz w:val="24"/>
      <w:szCs w:val="24"/>
      <w:u w:val="single"/>
    </w:rPr>
  </w:style>
  <w:style w:type="character" w:customStyle="1" w:styleId="51">
    <w:name w:val="浅色底纹 - 着色 2 字符"/>
    <w:link w:val="52"/>
    <w:qFormat/>
    <w:uiPriority w:val="0"/>
    <w:rPr>
      <w:b/>
      <w:i/>
      <w:sz w:val="24"/>
    </w:rPr>
  </w:style>
  <w:style w:type="paragraph" w:customStyle="1" w:styleId="52">
    <w:name w:val="浅色底纹 - 强调文字颜色 21"/>
    <w:basedOn w:val="1"/>
    <w:next w:val="1"/>
    <w:link w:val="51"/>
    <w:qFormat/>
    <w:uiPriority w:val="0"/>
    <w:pPr>
      <w:ind w:left="720" w:right="720"/>
    </w:pPr>
    <w:rPr>
      <w:b/>
      <w:i/>
      <w:szCs w:val="20"/>
      <w:lang w:bidi="ar-SA"/>
    </w:rPr>
  </w:style>
  <w:style w:type="paragraph" w:customStyle="1" w:styleId="53">
    <w:name w:val="彩色列表 - 强调文字颜色 11"/>
    <w:basedOn w:val="1"/>
    <w:qFormat/>
    <w:uiPriority w:val="0"/>
    <w:pPr>
      <w:ind w:left="720"/>
    </w:pPr>
  </w:style>
  <w:style w:type="paragraph" w:customStyle="1" w:styleId="54">
    <w:name w:val="网格表 31"/>
    <w:basedOn w:val="2"/>
    <w:next w:val="1"/>
    <w:qFormat/>
    <w:uiPriority w:val="0"/>
    <w:pPr>
      <w:outlineLvl w:val="9"/>
    </w:pPr>
  </w:style>
  <w:style w:type="paragraph" w:customStyle="1" w:styleId="5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6">
    <w:name w:val="中等深浅网格 21"/>
    <w:basedOn w:val="1"/>
    <w:qFormat/>
    <w:uiPriority w:val="0"/>
    <w:rPr>
      <w:szCs w:val="32"/>
    </w:rPr>
  </w:style>
  <w:style w:type="paragraph" w:customStyle="1" w:styleId="5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8">
    <w:name w:val="Revision"/>
    <w:qFormat/>
    <w:uiPriority w:val="71"/>
    <w:rPr>
      <w:rFonts w:ascii="Times New Roman" w:hAnsi="Times New Roman" w:eastAsia="宋体" w:cs="Times New Roman"/>
      <w:sz w:val="24"/>
      <w:szCs w:val="24"/>
      <w:lang w:val="en-US" w:eastAsia="en-US" w:bidi="en-US"/>
    </w:rPr>
  </w:style>
  <w:style w:type="character" w:styleId="59">
    <w:name w:val="Placeholder Text"/>
    <w:basedOn w:val="22"/>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5304BB-99D9-4F1C-9D56-B21276E40997}">
  <ds:schemaRefs/>
</ds:datastoreItem>
</file>

<file path=docProps/app.xml><?xml version="1.0" encoding="utf-8"?>
<Properties xmlns="http://schemas.openxmlformats.org/officeDocument/2006/extended-properties" xmlns:vt="http://schemas.openxmlformats.org/officeDocument/2006/docPropsVTypes">
  <Template>Normal.dotm</Template>
  <Company>nicpbp</Company>
  <Pages>9</Pages>
  <Words>4427</Words>
  <Characters>5124</Characters>
  <Lines>44</Lines>
  <Paragraphs>12</Paragraphs>
  <TotalTime>0</TotalTime>
  <ScaleCrop>false</ScaleCrop>
  <LinksUpToDate>false</LinksUpToDate>
  <CharactersWithSpaces>5399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2026-03-11T03:44:00Z</dcterms:created>
  <dc:creator>ypf</dc:creator>
  <cp:lastModifiedBy>LHGee</cp:lastModifiedBy>
  <cp:lastPrinted>2025-05-30T14:51:00Z</cp:lastPrinted>
  <dcterms:modified xsi:type="dcterms:W3CDTF">2026-03-13T01:48:12Z</dcterms:modified>
  <dc:title>ICS  65</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FE0DA033BFE14EB6A7AA62BED8032826</vt:lpwstr>
  </property>
  <property fmtid="{D5CDD505-2E9C-101B-9397-08002B2CF9AE}" pid="4" name="KSOTemplateDocerSaveRecord">
    <vt:lpwstr>eyJoZGlkIjoiODA2ZjA5Mjc1NTEyZGY5OTFhMjI2ZWI2MTFlY2RlMTAiLCJ1c2VySWQiOiIyNTEwNDgyOTIifQ==</vt:lpwstr>
  </property>
</Properties>
</file>